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D52" w:rsidRDefault="00CD3F7F" w:rsidP="00394D52">
      <w:pPr>
        <w:pStyle w:val="Heading1"/>
      </w:pPr>
      <w:r>
        <w:t xml:space="preserve">6. </w:t>
      </w:r>
      <w:r w:rsidR="00BB6399" w:rsidRPr="00BB6399">
        <w:t>Life Cycle Cost Analysis (LCCA)</w:t>
      </w:r>
      <w:r w:rsidR="00BB6399">
        <w:t xml:space="preserve"> </w:t>
      </w:r>
      <w:r w:rsidR="00A10E66">
        <w:t>&amp;</w:t>
      </w:r>
      <w:r w:rsidR="00BB6399">
        <w:t xml:space="preserve"> </w:t>
      </w:r>
      <w:r w:rsidR="00A10E66">
        <w:t xml:space="preserve">Revenue–Neutral </w:t>
      </w:r>
      <w:r w:rsidR="00BB6399">
        <w:t>Funding Model</w:t>
      </w:r>
    </w:p>
    <w:p w:rsidR="00394D52" w:rsidRPr="00394D52" w:rsidRDefault="00394D52" w:rsidP="00394D52">
      <w:pPr>
        <w:pStyle w:val="NoSpacing"/>
        <w:jc w:val="center"/>
        <w:rPr>
          <w:i/>
          <w:sz w:val="20"/>
        </w:rPr>
      </w:pPr>
    </w:p>
    <w:p w:rsidR="00386C62" w:rsidRPr="00386C62" w:rsidRDefault="00386C62" w:rsidP="00386C62">
      <w:pPr>
        <w:keepNext/>
        <w:framePr w:dropCap="drop" w:lines="2" w:wrap="around" w:vAnchor="text" w:hAnchor="text"/>
        <w:spacing w:after="0" w:line="632" w:lineRule="exact"/>
        <w:textAlignment w:val="baseline"/>
        <w:rPr>
          <w:rFonts w:cstheme="minorHAnsi"/>
          <w:position w:val="-3"/>
          <w:sz w:val="76"/>
        </w:rPr>
      </w:pPr>
      <w:r w:rsidRPr="00386C62">
        <w:rPr>
          <w:rFonts w:cstheme="minorHAnsi"/>
          <w:position w:val="-3"/>
          <w:sz w:val="76"/>
        </w:rPr>
        <w:t>C</w:t>
      </w:r>
    </w:p>
    <w:p w:rsidR="00394D52" w:rsidRDefault="00A10E66" w:rsidP="00394D52">
      <w:r>
        <w:t>o</w:t>
      </w:r>
      <w:r w:rsidR="00394D52">
        <w:t>n</w:t>
      </w:r>
      <w:r>
        <w:t xml:space="preserve">ducting </w:t>
      </w:r>
      <w:r w:rsidR="00394D52">
        <w:t xml:space="preserve">a Life Cycle Cost </w:t>
      </w:r>
      <w:r>
        <w:t>Analysis</w:t>
      </w:r>
      <w:r w:rsidR="00B12E3D">
        <w:t xml:space="preserve"> (LCCA)</w:t>
      </w:r>
      <w:r>
        <w:t xml:space="preserve"> and constructing a Revenue-Neutral financing approach </w:t>
      </w:r>
      <w:r w:rsidR="00394D52">
        <w:t>m</w:t>
      </w:r>
      <w:r w:rsidR="00394D52" w:rsidRPr="00505027">
        <w:t xml:space="preserve">ay be </w:t>
      </w:r>
      <w:r w:rsidR="00394D52">
        <w:t xml:space="preserve">the </w:t>
      </w:r>
      <w:r w:rsidR="00394D52" w:rsidRPr="00505027">
        <w:t xml:space="preserve">most important role for </w:t>
      </w:r>
      <w:r>
        <w:t xml:space="preserve">the </w:t>
      </w:r>
      <w:r w:rsidR="00394D52" w:rsidRPr="00505027">
        <w:t>Green Team</w:t>
      </w:r>
      <w:r>
        <w:t xml:space="preserve"> of an organization that wants to reduce their GHG emissions to zero.</w:t>
      </w:r>
      <w:r w:rsidR="00394D52" w:rsidRPr="00505027">
        <w:t xml:space="preserve"> </w:t>
      </w:r>
    </w:p>
    <w:p w:rsidR="00A10E66" w:rsidRDefault="00A10E66" w:rsidP="00394D52">
      <w:r>
        <w:t>The previous segments of this workshop assembled the essential information needed to conduct a life cycle cost analysis of a sustainable energy system that has zero GHG emissions</w:t>
      </w:r>
      <w:r w:rsidR="000F7477">
        <w:t xml:space="preserve"> and compare it to the life cycle cost of the current </w:t>
      </w:r>
      <w:r w:rsidR="00FA16B3">
        <w:t xml:space="preserve">GHG emitting </w:t>
      </w:r>
      <w:r w:rsidR="000F7477">
        <w:t xml:space="preserve">fossil fuel based system.   The final step is to propose how to pay for a new energy system – preferably using a </w:t>
      </w:r>
      <w:r>
        <w:t>financi</w:t>
      </w:r>
      <w:r w:rsidR="00B12E3D">
        <w:t>ng</w:t>
      </w:r>
      <w:r>
        <w:t xml:space="preserve"> approach that does not change the organization’s operating budget.    </w:t>
      </w:r>
    </w:p>
    <w:p w:rsidR="000F7477" w:rsidRDefault="000F7477" w:rsidP="000F7477">
      <w:r>
        <w:t>The Green First Team found that i</w:t>
      </w:r>
      <w:r w:rsidRPr="00505027">
        <w:t xml:space="preserve">f </w:t>
      </w:r>
      <w:r>
        <w:t>they</w:t>
      </w:r>
      <w:r w:rsidRPr="00505027">
        <w:t xml:space="preserve"> </w:t>
      </w:r>
      <w:r>
        <w:t>could present a funding model to the Board/Vestry/Council for a new zero GHG emissions energy system that was “</w:t>
      </w:r>
      <w:r w:rsidR="00392A8A">
        <w:t>R</w:t>
      </w:r>
      <w:r>
        <w:t xml:space="preserve">evenue </w:t>
      </w:r>
      <w:r w:rsidR="00392A8A">
        <w:t>N</w:t>
      </w:r>
      <w:r>
        <w:t>eutral” (i.e. an approach that does not require a change in the organization’s budget), they could get the Board’s immediate attention.    So, that</w:t>
      </w:r>
      <w:r w:rsidR="00392A8A">
        <w:t xml:space="preserve"> funding approach</w:t>
      </w:r>
      <w:r>
        <w:t xml:space="preserve"> became their goal. </w:t>
      </w:r>
      <w:r w:rsidRPr="00505027">
        <w:t xml:space="preserve"> </w:t>
      </w:r>
      <w:r>
        <w:t xml:space="preserve"> Any plan that increase</w:t>
      </w:r>
      <w:r w:rsidR="00392A8A">
        <w:t>d</w:t>
      </w:r>
      <w:r>
        <w:t xml:space="preserve"> the organization’s operating budget w</w:t>
      </w:r>
      <w:r w:rsidR="00392A8A">
        <w:t xml:space="preserve">ould </w:t>
      </w:r>
      <w:r>
        <w:t xml:space="preserve">make the </w:t>
      </w:r>
      <w:r w:rsidR="00B04405">
        <w:t xml:space="preserve">approval </w:t>
      </w:r>
      <w:r>
        <w:t>path steeper to climb.</w:t>
      </w:r>
    </w:p>
    <w:p w:rsidR="000F7477" w:rsidRDefault="00A10E66" w:rsidP="00394D52">
      <w:r>
        <w:t xml:space="preserve">The </w:t>
      </w:r>
      <w:r w:rsidR="00B04405">
        <w:t>proposed</w:t>
      </w:r>
      <w:r>
        <w:t xml:space="preserve"> financial approach illustrate</w:t>
      </w:r>
      <w:r w:rsidR="00B04405">
        <w:t>s</w:t>
      </w:r>
      <w:r>
        <w:t xml:space="preserve"> ONE path to zero GHG emissions.   It is not the only path</w:t>
      </w:r>
      <w:r w:rsidR="00B12E3D">
        <w:t xml:space="preserve">. </w:t>
      </w:r>
      <w:r w:rsidR="000F7477">
        <w:t xml:space="preserve">  However, a “Revenue Neutral” funding approach serves as a baseline Life Cycle Cost estimate for comparison with other clever funding approaches involving third parties (Power Purchase Agreements, Leases, PACE, Commercial Loans, etc.).  The baseline also identifies the amount of sacrifice required by the congregation (if any).</w:t>
      </w:r>
    </w:p>
    <w:p w:rsidR="00A10E66" w:rsidRPr="00A10E66" w:rsidRDefault="00A10E66" w:rsidP="00386C62">
      <w:pPr>
        <w:pStyle w:val="Heading2"/>
      </w:pPr>
      <w:r w:rsidRPr="00A10E66">
        <w:t>Basic Assumptions</w:t>
      </w:r>
      <w:r>
        <w:t xml:space="preserve"> / Definitions</w:t>
      </w:r>
      <w:r w:rsidRPr="00A10E66">
        <w:t>.</w:t>
      </w:r>
    </w:p>
    <w:p w:rsidR="00670A84" w:rsidRDefault="00670A84" w:rsidP="00670A84">
      <w:pPr>
        <w:pStyle w:val="NoSpacing"/>
        <w:rPr>
          <w:rFonts w:ascii="Arial" w:hAnsi="Arial" w:cs="Arial"/>
          <w:b/>
          <w:bCs/>
          <w:color w:val="222222"/>
          <w:sz w:val="21"/>
          <w:szCs w:val="21"/>
          <w:shd w:val="clear" w:color="auto" w:fill="FFFFFF"/>
        </w:rPr>
      </w:pPr>
    </w:p>
    <w:p w:rsidR="00670A84" w:rsidRDefault="00670A84" w:rsidP="00670A84">
      <w:pPr>
        <w:pStyle w:val="Heading3"/>
        <w:rPr>
          <w:shd w:val="clear" w:color="auto" w:fill="FFFFFF"/>
        </w:rPr>
      </w:pPr>
      <w:r w:rsidRPr="00817C27">
        <w:rPr>
          <w:shd w:val="clear" w:color="auto" w:fill="FFFFFF"/>
        </w:rPr>
        <w:t>Life-cycle cost analysis (LCCA)</w:t>
      </w:r>
      <w:r>
        <w:rPr>
          <w:rFonts w:ascii="ZWAdobeF" w:hAnsi="ZWAdobeF" w:cs="ZWAdobeF"/>
          <w:sz w:val="2"/>
          <w:szCs w:val="2"/>
          <w:shd w:val="clear" w:color="auto" w:fill="FFFFFF"/>
        </w:rPr>
        <w:t>76F76F</w:t>
      </w:r>
      <w:r w:rsidRPr="00817C27">
        <w:rPr>
          <w:rStyle w:val="EndnoteReference"/>
          <w:rFonts w:cs="Calibri"/>
          <w:b w:val="0"/>
          <w:bCs/>
          <w:color w:val="222222"/>
          <w:shd w:val="clear" w:color="auto" w:fill="FFFFFF"/>
        </w:rPr>
        <w:endnoteReference w:id="1"/>
      </w:r>
      <w:r w:rsidRPr="00817C27">
        <w:rPr>
          <w:shd w:val="clear" w:color="auto" w:fill="FFFFFF"/>
        </w:rPr>
        <w:t> </w:t>
      </w:r>
    </w:p>
    <w:p w:rsidR="00670A84" w:rsidRPr="00817C27" w:rsidRDefault="00670A84" w:rsidP="00670A84">
      <w:pPr>
        <w:pStyle w:val="NoSpacing"/>
        <w:rPr>
          <w:rFonts w:cs="Calibri"/>
          <w:b/>
        </w:rPr>
      </w:pPr>
      <w:r w:rsidRPr="00817C27">
        <w:rPr>
          <w:rFonts w:cs="Calibri"/>
          <w:color w:val="222222"/>
          <w:shd w:val="clear" w:color="auto" w:fill="FFFFFF"/>
        </w:rPr>
        <w:t>is a tool to determine the most </w:t>
      </w:r>
      <w:r w:rsidRPr="00817C27">
        <w:rPr>
          <w:rFonts w:cs="Calibri"/>
          <w:shd w:val="clear" w:color="auto" w:fill="FFFFFF"/>
        </w:rPr>
        <w:t>cost-effective</w:t>
      </w:r>
      <w:r w:rsidRPr="00817C27">
        <w:rPr>
          <w:rFonts w:cs="Calibri"/>
          <w:color w:val="222222"/>
          <w:shd w:val="clear" w:color="auto" w:fill="FFFFFF"/>
        </w:rPr>
        <w:t> option among different competing alternatives</w:t>
      </w:r>
      <w:r>
        <w:rPr>
          <w:rFonts w:cs="Calibri"/>
          <w:color w:val="222222"/>
          <w:shd w:val="clear" w:color="auto" w:fill="FFFFFF"/>
        </w:rPr>
        <w:fldChar w:fldCharType="begin"/>
      </w:r>
      <w:r>
        <w:rPr>
          <w:rFonts w:cs="Calibri"/>
          <w:color w:val="222222"/>
          <w:shd w:val="clear" w:color="auto" w:fill="FFFFFF"/>
        </w:rPr>
        <w:instrText xml:space="preserve"> XE "</w:instrText>
      </w:r>
      <w:r w:rsidRPr="00D944FA">
        <w:rPr>
          <w:rFonts w:cs="Calibri"/>
        </w:rPr>
        <w:instrText>alternate energy sources/systems</w:instrText>
      </w:r>
      <w:r>
        <w:rPr>
          <w:rFonts w:cs="Calibri"/>
        </w:rPr>
        <w:instrText>"</w:instrText>
      </w:r>
      <w:r>
        <w:rPr>
          <w:rFonts w:cs="Calibri"/>
          <w:color w:val="222222"/>
          <w:shd w:val="clear" w:color="auto" w:fill="FFFFFF"/>
        </w:rPr>
        <w:instrText xml:space="preserve"> </w:instrText>
      </w:r>
      <w:r>
        <w:rPr>
          <w:rFonts w:cs="Calibri"/>
          <w:color w:val="222222"/>
          <w:shd w:val="clear" w:color="auto" w:fill="FFFFFF"/>
        </w:rPr>
        <w:fldChar w:fldCharType="end"/>
      </w:r>
      <w:r w:rsidRPr="00817C27">
        <w:rPr>
          <w:rFonts w:cs="Calibri"/>
          <w:color w:val="222222"/>
          <w:shd w:val="clear" w:color="auto" w:fill="FFFFFF"/>
        </w:rPr>
        <w:t xml:space="preserve"> to purchase, own, operate, maintain and, finally, dispose of an object or process, when each is equally appropriate to be implemented on technical grounds.</w:t>
      </w:r>
    </w:p>
    <w:p w:rsidR="00670A84" w:rsidRPr="00817C27" w:rsidRDefault="00670A84" w:rsidP="00670A84">
      <w:pPr>
        <w:pStyle w:val="NoSpacing"/>
        <w:rPr>
          <w:rFonts w:cs="Calibri"/>
          <w:b/>
        </w:rPr>
      </w:pPr>
    </w:p>
    <w:p w:rsidR="00392A8A" w:rsidRDefault="00670A84" w:rsidP="00392A8A">
      <w:pPr>
        <w:pStyle w:val="Heading3"/>
      </w:pPr>
      <w:r w:rsidRPr="00817C27">
        <w:t>Life-cycle assessment (LCA,</w:t>
      </w:r>
      <w:r w:rsidRPr="00817C27">
        <w:rPr>
          <w:rStyle w:val="EndnoteReference"/>
          <w:rFonts w:ascii="Calibri" w:hAnsi="Calibri" w:cs="Calibri"/>
          <w:color w:val="222222"/>
          <w:shd w:val="clear" w:color="auto" w:fill="FFFFFF"/>
        </w:rPr>
        <w:t xml:space="preserve"> </w:t>
      </w:r>
      <w:r>
        <w:rPr>
          <w:rFonts w:ascii="ZWAdobeF" w:hAnsi="ZWAdobeF" w:cs="ZWAdobeF"/>
          <w:sz w:val="2"/>
          <w:szCs w:val="2"/>
          <w:shd w:val="clear" w:color="auto" w:fill="FFFFFF"/>
        </w:rPr>
        <w:t>77F77F</w:t>
      </w:r>
      <w:r w:rsidRPr="00817C27">
        <w:rPr>
          <w:rStyle w:val="EndnoteReference"/>
          <w:rFonts w:ascii="Calibri" w:hAnsi="Calibri" w:cs="Calibri"/>
          <w:color w:val="222222"/>
          <w:shd w:val="clear" w:color="auto" w:fill="FFFFFF"/>
        </w:rPr>
        <w:endnoteReference w:id="2"/>
      </w:r>
      <w:r w:rsidRPr="00817C27">
        <w:t xml:space="preserve"> also known as life-cycle analysis, ecobalance, and cradle-to-grave analysis)</w:t>
      </w:r>
    </w:p>
    <w:p w:rsidR="00670A84" w:rsidRPr="00817C27" w:rsidRDefault="00670A84" w:rsidP="00670A84">
      <w:pPr>
        <w:pStyle w:val="NormalWeb"/>
        <w:shd w:val="clear" w:color="auto" w:fill="FFFFFF"/>
        <w:spacing w:before="0" w:beforeAutospacing="0" w:after="120" w:afterAutospacing="0"/>
        <w:rPr>
          <w:rFonts w:ascii="Calibri" w:hAnsi="Calibri" w:cs="Calibri"/>
          <w:color w:val="222222"/>
          <w:sz w:val="22"/>
          <w:szCs w:val="22"/>
        </w:rPr>
      </w:pPr>
      <w:r w:rsidRPr="00817C27">
        <w:rPr>
          <w:rFonts w:ascii="Calibri" w:hAnsi="Calibri" w:cs="Calibri"/>
          <w:color w:val="222222"/>
          <w:sz w:val="22"/>
          <w:szCs w:val="22"/>
        </w:rPr>
        <w:t> is a technique to assess environmental impacts associated with all the stages of a product's life from raw material extraction through materials processing, manufacture, distribution, use, repair and maintenance, and disposal or recycling.  Designers use this process to help critique their products. LCAs can help avoid a narrow outlook on environmental concerns by:</w:t>
      </w:r>
    </w:p>
    <w:p w:rsidR="00670A84" w:rsidRPr="00817C27" w:rsidRDefault="00670A84" w:rsidP="00670A84">
      <w:pPr>
        <w:numPr>
          <w:ilvl w:val="0"/>
          <w:numId w:val="16"/>
        </w:numPr>
        <w:shd w:val="clear" w:color="auto" w:fill="FFFFFF"/>
        <w:tabs>
          <w:tab w:val="clear" w:pos="720"/>
        </w:tabs>
        <w:spacing w:after="24" w:line="240" w:lineRule="auto"/>
        <w:ind w:left="180" w:hanging="24"/>
        <w:rPr>
          <w:rFonts w:cs="Calibri"/>
          <w:color w:val="222222"/>
        </w:rPr>
      </w:pPr>
      <w:r w:rsidRPr="00817C27">
        <w:rPr>
          <w:rFonts w:cs="Calibri"/>
          <w:color w:val="222222"/>
        </w:rPr>
        <w:t>Compiling an inventory of relevant energy and material inputs and environmental releases;</w:t>
      </w:r>
    </w:p>
    <w:p w:rsidR="00670A84" w:rsidRPr="00817C27" w:rsidRDefault="00670A84" w:rsidP="00670A84">
      <w:pPr>
        <w:numPr>
          <w:ilvl w:val="0"/>
          <w:numId w:val="16"/>
        </w:numPr>
        <w:shd w:val="clear" w:color="auto" w:fill="FFFFFF"/>
        <w:tabs>
          <w:tab w:val="clear" w:pos="720"/>
        </w:tabs>
        <w:spacing w:after="24" w:line="240" w:lineRule="auto"/>
        <w:ind w:left="180" w:hanging="24"/>
        <w:rPr>
          <w:rFonts w:cs="Calibri"/>
          <w:color w:val="222222"/>
        </w:rPr>
      </w:pPr>
      <w:r w:rsidRPr="00817C27">
        <w:rPr>
          <w:rFonts w:cs="Calibri"/>
          <w:color w:val="222222"/>
        </w:rPr>
        <w:t>Evaluating the potential impacts associated with identified inputs and releases;</w:t>
      </w:r>
    </w:p>
    <w:p w:rsidR="00670A84" w:rsidRPr="00817C27" w:rsidRDefault="00670A84" w:rsidP="00670A84">
      <w:pPr>
        <w:numPr>
          <w:ilvl w:val="0"/>
          <w:numId w:val="16"/>
        </w:numPr>
        <w:shd w:val="clear" w:color="auto" w:fill="FFFFFF"/>
        <w:tabs>
          <w:tab w:val="clear" w:pos="720"/>
        </w:tabs>
        <w:spacing w:after="24" w:line="240" w:lineRule="auto"/>
        <w:ind w:left="180" w:hanging="24"/>
        <w:rPr>
          <w:rFonts w:cs="Calibri"/>
          <w:color w:val="222222"/>
        </w:rPr>
      </w:pPr>
      <w:r w:rsidRPr="00817C27">
        <w:rPr>
          <w:rFonts w:cs="Calibri"/>
          <w:color w:val="222222"/>
        </w:rPr>
        <w:t>Interpreting the results to help make a more informed decision.</w:t>
      </w:r>
      <w:hyperlink r:id="rId8" w:anchor="cite_note-2" w:history="1">
        <w:r w:rsidRPr="00817C27">
          <w:rPr>
            <w:rStyle w:val="Hyperlink"/>
            <w:rFonts w:cs="Calibri"/>
            <w:color w:val="0B0080"/>
            <w:vertAlign w:val="superscript"/>
          </w:rPr>
          <w:t>[2]</w:t>
        </w:r>
      </w:hyperlink>
    </w:p>
    <w:p w:rsidR="00670A84" w:rsidRDefault="00670A84" w:rsidP="00670A84">
      <w:pPr>
        <w:pStyle w:val="NoSpacing"/>
      </w:pPr>
    </w:p>
    <w:p w:rsidR="00392A8A" w:rsidRDefault="00392A8A" w:rsidP="00670A84">
      <w:pPr>
        <w:pStyle w:val="NoSpacing"/>
      </w:pPr>
      <w:r>
        <w:t>A good example of a Life-Cycle Assessment is the work of</w:t>
      </w:r>
      <w:r w:rsidR="002A0A14">
        <w:t xml:space="preserve"> Paul Epstein, et al. of the Harvard Medical Center.  </w:t>
      </w:r>
      <w:r>
        <w:t xml:space="preserve"> </w:t>
      </w:r>
    </w:p>
    <w:p w:rsidR="00392A8A" w:rsidRDefault="00392A8A" w:rsidP="00670A84">
      <w:pPr>
        <w:pStyle w:val="NoSpacing"/>
      </w:pPr>
    </w:p>
    <w:p w:rsidR="00670A84" w:rsidRPr="002A0A14" w:rsidRDefault="00670A84" w:rsidP="002A0A14">
      <w:pPr>
        <w:pStyle w:val="NoSpacing"/>
        <w:ind w:left="720"/>
      </w:pPr>
      <w:r w:rsidRPr="002A0A14">
        <w:t>"We estimate that the life cycle effects of coal</w:t>
      </w:r>
      <w:r w:rsidRPr="002A0A14">
        <w:fldChar w:fldCharType="begin"/>
      </w:r>
      <w:r w:rsidRPr="002A0A14">
        <w:instrText xml:space="preserve"> XE "</w:instrText>
      </w:r>
      <w:r w:rsidRPr="002A0A14">
        <w:rPr>
          <w:rFonts w:cs="Calibri"/>
        </w:rPr>
        <w:instrText>coal"</w:instrText>
      </w:r>
      <w:r w:rsidRPr="002A0A14">
        <w:instrText xml:space="preserve"> </w:instrText>
      </w:r>
      <w:r w:rsidRPr="002A0A14">
        <w:fldChar w:fldCharType="end"/>
      </w:r>
      <w:r w:rsidRPr="002A0A14">
        <w:t xml:space="preserve"> and the waste stream generated are costing the U.S. </w:t>
      </w:r>
      <w:r w:rsidRPr="002A0A14">
        <w:lastRenderedPageBreak/>
        <w:t xml:space="preserve">public a third to over one-half of a trillion dollars annually.  </w:t>
      </w:r>
      <w:r w:rsidRPr="002A0A14">
        <w:rPr>
          <w:b/>
        </w:rPr>
        <w:t>Accounting</w:t>
      </w:r>
      <w:r w:rsidRPr="002A0A14">
        <w:rPr>
          <w:b/>
        </w:rPr>
        <w:fldChar w:fldCharType="begin"/>
      </w:r>
      <w:r w:rsidRPr="002A0A14">
        <w:rPr>
          <w:b/>
        </w:rPr>
        <w:instrText xml:space="preserve"> XE "</w:instrText>
      </w:r>
      <w:r w:rsidRPr="002A0A14">
        <w:rPr>
          <w:rFonts w:cs="Calibri"/>
        </w:rPr>
        <w:instrText>account"</w:instrText>
      </w:r>
      <w:r w:rsidRPr="002A0A14">
        <w:rPr>
          <w:b/>
        </w:rPr>
        <w:instrText xml:space="preserve"> </w:instrText>
      </w:r>
      <w:r w:rsidRPr="002A0A14">
        <w:rPr>
          <w:b/>
        </w:rPr>
        <w:fldChar w:fldCharType="end"/>
      </w:r>
      <w:r w:rsidRPr="002A0A14">
        <w:rPr>
          <w:b/>
        </w:rPr>
        <w:t xml:space="preserve"> for the damages</w:t>
      </w:r>
      <w:r w:rsidRPr="002A0A14">
        <w:rPr>
          <w:b/>
        </w:rPr>
        <w:fldChar w:fldCharType="begin"/>
      </w:r>
      <w:r w:rsidRPr="002A0A14">
        <w:rPr>
          <w:b/>
        </w:rPr>
        <w:instrText xml:space="preserve"> XE "</w:instrText>
      </w:r>
      <w:r w:rsidRPr="002A0A14">
        <w:rPr>
          <w:rFonts w:cs="Calibri"/>
        </w:rPr>
        <w:instrText>damages"</w:instrText>
      </w:r>
      <w:r w:rsidRPr="002A0A14">
        <w:rPr>
          <w:b/>
        </w:rPr>
        <w:instrText xml:space="preserve"> </w:instrText>
      </w:r>
      <w:r w:rsidRPr="002A0A14">
        <w:rPr>
          <w:b/>
        </w:rPr>
        <w:fldChar w:fldCharType="end"/>
      </w:r>
      <w:r w:rsidRPr="002A0A14">
        <w:rPr>
          <w:b/>
        </w:rPr>
        <w:t xml:space="preserve"> conservatively doubles to triples the price of electricity from coal per kWh generated</w:t>
      </w:r>
      <w:r w:rsidRPr="002A0A14">
        <w:t>, making wind, solar, and other forms of non-fossil fuel power generation, along with investments in efficiency and electricity conservation methods, economically competitive."</w:t>
      </w:r>
    </w:p>
    <w:p w:rsidR="00670A84" w:rsidRPr="002A0A14" w:rsidRDefault="00670A84" w:rsidP="002A0A14">
      <w:pPr>
        <w:pStyle w:val="NoSpacing"/>
        <w:ind w:left="720"/>
      </w:pPr>
    </w:p>
    <w:p w:rsidR="00670A84" w:rsidRPr="002A0A14" w:rsidRDefault="00670A84" w:rsidP="002A0A14">
      <w:pPr>
        <w:pStyle w:val="NoSpacing"/>
        <w:ind w:left="720"/>
        <w:rPr>
          <w:b/>
        </w:rPr>
      </w:pPr>
      <w:r w:rsidRPr="002A0A14">
        <w:rPr>
          <w:b/>
        </w:rPr>
        <w:t>"Life cycle analysis, examining all stages in using a resource, is central to the full cost accounting</w:t>
      </w:r>
      <w:r w:rsidRPr="002A0A14">
        <w:rPr>
          <w:b/>
        </w:rPr>
        <w:fldChar w:fldCharType="begin"/>
      </w:r>
      <w:r w:rsidRPr="002A0A14">
        <w:rPr>
          <w:b/>
        </w:rPr>
        <w:instrText xml:space="preserve"> XE "</w:instrText>
      </w:r>
      <w:r w:rsidRPr="002A0A14">
        <w:rPr>
          <w:rFonts w:cs="Calibri"/>
        </w:rPr>
        <w:instrText>life cycle cost analysis"</w:instrText>
      </w:r>
      <w:r w:rsidRPr="002A0A14">
        <w:rPr>
          <w:b/>
        </w:rPr>
        <w:instrText xml:space="preserve"> </w:instrText>
      </w:r>
      <w:r w:rsidRPr="002A0A14">
        <w:rPr>
          <w:b/>
        </w:rPr>
        <w:fldChar w:fldCharType="end"/>
      </w:r>
      <w:r w:rsidRPr="002A0A14">
        <w:rPr>
          <w:b/>
        </w:rPr>
        <w:t xml:space="preserve"> needed to guide public policy and private investment." </w:t>
      </w:r>
    </w:p>
    <w:p w:rsidR="00670A84" w:rsidRPr="002A0A14" w:rsidRDefault="00670A84" w:rsidP="002A0A14">
      <w:pPr>
        <w:pStyle w:val="NoSpacing"/>
        <w:ind w:left="720"/>
      </w:pPr>
    </w:p>
    <w:p w:rsidR="00670A84" w:rsidRPr="002A0A14" w:rsidRDefault="00670A84" w:rsidP="002A0A14">
      <w:pPr>
        <w:pStyle w:val="NoSpacing"/>
        <w:ind w:left="720"/>
      </w:pPr>
      <w:r w:rsidRPr="002A0A14">
        <w:t>“This work strives to derive monetary values for these externalities so that they can be used to inform policymaking."</w:t>
      </w:r>
    </w:p>
    <w:p w:rsidR="00670A84" w:rsidRPr="002A0A14" w:rsidRDefault="00670A84" w:rsidP="002A0A14">
      <w:pPr>
        <w:pStyle w:val="NoSpacing"/>
        <w:ind w:left="720"/>
      </w:pPr>
    </w:p>
    <w:p w:rsidR="00392A8A" w:rsidRDefault="00670A84" w:rsidP="002A0A14">
      <w:pPr>
        <w:pStyle w:val="NoSpacing"/>
        <w:ind w:left="720"/>
      </w:pPr>
      <w:r w:rsidRPr="002A0A14">
        <w:t xml:space="preserve">“Our comprehensive review finds that the best estimate for the total economically quantifiable costs, based on a conservative weighting of many of the study findings,...to be close to </w:t>
      </w:r>
      <w:r w:rsidRPr="002A0A14">
        <w:rPr>
          <w:b/>
        </w:rPr>
        <w:t>17.8¢  /kWh</w:t>
      </w:r>
      <w:r w:rsidRPr="002A0A14">
        <w:t xml:space="preserve"> ...the upper bounds of electricity generated from coal</w:t>
      </w:r>
      <w:r w:rsidRPr="002A0A14">
        <w:fldChar w:fldCharType="begin"/>
      </w:r>
      <w:r w:rsidRPr="002A0A14">
        <w:instrText xml:space="preserve"> XE "</w:instrText>
      </w:r>
      <w:r w:rsidRPr="002A0A14">
        <w:rPr>
          <w:rFonts w:cs="Calibri"/>
        </w:rPr>
        <w:instrText>coal"</w:instrText>
      </w:r>
      <w:r w:rsidRPr="002A0A14">
        <w:instrText xml:space="preserve"> </w:instrText>
      </w:r>
      <w:r w:rsidRPr="002A0A14">
        <w:fldChar w:fldCharType="end"/>
      </w:r>
      <w:r w:rsidRPr="002A0A14">
        <w:t xml:space="preserve"> could add close to 26.89¢ /kWh....These and the more difficult to quantify externalities are borne by the general public.</w:t>
      </w:r>
      <w:r w:rsidR="00392A8A" w:rsidRPr="002A0A14">
        <w:t>”</w:t>
      </w:r>
      <w:r w:rsidR="00392A8A" w:rsidRPr="002A0A14">
        <w:rPr>
          <w:rStyle w:val="EndnoteReference"/>
        </w:rPr>
        <w:endnoteReference w:id="3"/>
      </w:r>
    </w:p>
    <w:p w:rsidR="000C18D8" w:rsidRDefault="000C18D8" w:rsidP="002A0A14">
      <w:pPr>
        <w:pStyle w:val="NoSpacing"/>
        <w:ind w:left="720"/>
      </w:pPr>
    </w:p>
    <w:p w:rsidR="00A10E66" w:rsidRPr="00A10E66" w:rsidRDefault="00A10E66" w:rsidP="00394D52">
      <w:pPr>
        <w:rPr>
          <w:rFonts w:cstheme="minorHAnsi"/>
        </w:rPr>
      </w:pPr>
      <w:r>
        <w:rPr>
          <w:rFonts w:cstheme="minorHAnsi"/>
        </w:rPr>
        <w:t>A</w:t>
      </w:r>
      <w:r w:rsidRPr="00A10E66">
        <w:rPr>
          <w:rFonts w:cstheme="minorHAnsi"/>
        </w:rPr>
        <w:t xml:space="preserve"> L</w:t>
      </w:r>
      <w:r>
        <w:rPr>
          <w:rFonts w:cstheme="minorHAnsi"/>
        </w:rPr>
        <w:t xml:space="preserve">ife </w:t>
      </w:r>
      <w:r w:rsidRPr="00A10E66">
        <w:rPr>
          <w:rFonts w:cstheme="minorHAnsi"/>
        </w:rPr>
        <w:t>C</w:t>
      </w:r>
      <w:r>
        <w:rPr>
          <w:rFonts w:cstheme="minorHAnsi"/>
        </w:rPr>
        <w:t xml:space="preserve">ycle </w:t>
      </w:r>
      <w:r w:rsidRPr="00A10E66">
        <w:rPr>
          <w:rFonts w:cstheme="minorHAnsi"/>
        </w:rPr>
        <w:t>C</w:t>
      </w:r>
      <w:r>
        <w:rPr>
          <w:rFonts w:cstheme="minorHAnsi"/>
        </w:rPr>
        <w:t xml:space="preserve">ost </w:t>
      </w:r>
      <w:r w:rsidRPr="00A10E66">
        <w:rPr>
          <w:rFonts w:cstheme="minorHAnsi"/>
        </w:rPr>
        <w:t>A</w:t>
      </w:r>
      <w:r>
        <w:rPr>
          <w:rFonts w:cstheme="minorHAnsi"/>
        </w:rPr>
        <w:t xml:space="preserve">nalysis is </w:t>
      </w:r>
      <w:r w:rsidRPr="00A10E66">
        <w:rPr>
          <w:rFonts w:cstheme="minorHAnsi"/>
        </w:rPr>
        <w:t xml:space="preserve">a useful </w:t>
      </w:r>
      <w:r>
        <w:rPr>
          <w:rFonts w:cstheme="minorHAnsi"/>
        </w:rPr>
        <w:t xml:space="preserve">(classical) </w:t>
      </w:r>
      <w:r w:rsidRPr="00A10E66">
        <w:rPr>
          <w:rFonts w:cstheme="minorHAnsi"/>
        </w:rPr>
        <w:t xml:space="preserve">financial tool when trying to make decisions about “capital equipment.”  </w:t>
      </w:r>
    </w:p>
    <w:p w:rsidR="00A10E66" w:rsidRPr="00A10E66" w:rsidRDefault="00A10E66" w:rsidP="00A10E66">
      <w:pPr>
        <w:ind w:left="720"/>
        <w:rPr>
          <w:rFonts w:cstheme="minorHAnsi"/>
          <w:color w:val="222222"/>
          <w:sz w:val="22"/>
          <w:shd w:val="clear" w:color="auto" w:fill="FFFFFF"/>
        </w:rPr>
      </w:pPr>
      <w:r>
        <w:rPr>
          <w:rFonts w:cstheme="minorHAnsi"/>
          <w:b/>
          <w:bCs/>
          <w:color w:val="222222"/>
          <w:sz w:val="22"/>
          <w:shd w:val="clear" w:color="auto" w:fill="FFFFFF"/>
        </w:rPr>
        <w:t>C</w:t>
      </w:r>
      <w:r w:rsidRPr="00A10E66">
        <w:rPr>
          <w:rFonts w:cstheme="minorHAnsi"/>
          <w:b/>
          <w:bCs/>
          <w:color w:val="222222"/>
          <w:sz w:val="22"/>
          <w:shd w:val="clear" w:color="auto" w:fill="FFFFFF"/>
        </w:rPr>
        <w:t xml:space="preserve">apital </w:t>
      </w:r>
      <w:r>
        <w:rPr>
          <w:rFonts w:cstheme="minorHAnsi"/>
          <w:b/>
          <w:bCs/>
          <w:color w:val="222222"/>
          <w:sz w:val="22"/>
          <w:shd w:val="clear" w:color="auto" w:fill="FFFFFF"/>
        </w:rPr>
        <w:t>E</w:t>
      </w:r>
      <w:r w:rsidRPr="00A10E66">
        <w:rPr>
          <w:rFonts w:cstheme="minorHAnsi"/>
          <w:b/>
          <w:bCs/>
          <w:color w:val="222222"/>
          <w:sz w:val="22"/>
          <w:shd w:val="clear" w:color="auto" w:fill="FFFFFF"/>
        </w:rPr>
        <w:t>quipment</w:t>
      </w:r>
      <w:r w:rsidRPr="00A10E66">
        <w:rPr>
          <w:rFonts w:cstheme="minorHAnsi"/>
          <w:color w:val="222222"/>
          <w:sz w:val="22"/>
          <w:shd w:val="clear" w:color="auto" w:fill="FFFFFF"/>
        </w:rPr>
        <w:t>.   E</w:t>
      </w:r>
      <w:r w:rsidRPr="00A10E66">
        <w:rPr>
          <w:rFonts w:cstheme="minorHAnsi"/>
          <w:bCs/>
          <w:color w:val="222222"/>
          <w:sz w:val="22"/>
          <w:shd w:val="clear" w:color="auto" w:fill="FFFFFF"/>
        </w:rPr>
        <w:t>quipment</w:t>
      </w:r>
      <w:r w:rsidRPr="00A10E66">
        <w:rPr>
          <w:rFonts w:cstheme="minorHAnsi"/>
          <w:color w:val="222222"/>
          <w:sz w:val="22"/>
          <w:shd w:val="clear" w:color="auto" w:fill="FFFFFF"/>
        </w:rPr>
        <w:t> used by an organization to carry out their mission.  Any single asset which has an acquisition cost of $5,000 or more and a useful life</w:t>
      </w:r>
      <w:r>
        <w:rPr>
          <w:rFonts w:cstheme="minorHAnsi"/>
          <w:color w:val="222222"/>
          <w:sz w:val="22"/>
          <w:shd w:val="clear" w:color="auto" w:fill="FFFFFF"/>
        </w:rPr>
        <w:t>span</w:t>
      </w:r>
      <w:r w:rsidRPr="00A10E66">
        <w:rPr>
          <w:rFonts w:cstheme="minorHAnsi"/>
          <w:color w:val="222222"/>
          <w:sz w:val="22"/>
          <w:shd w:val="clear" w:color="auto" w:fill="FFFFFF"/>
        </w:rPr>
        <w:t xml:space="preserve"> of more than one year, whether purchased outright, acquired through a lease or through donation.</w:t>
      </w:r>
    </w:p>
    <w:p w:rsidR="00A10E66" w:rsidRPr="00A10E66" w:rsidRDefault="00A10E66" w:rsidP="00A10E66">
      <w:pPr>
        <w:ind w:left="720"/>
        <w:rPr>
          <w:rFonts w:cstheme="minorHAnsi"/>
          <w:sz w:val="22"/>
          <w:szCs w:val="20"/>
        </w:rPr>
      </w:pPr>
      <w:r w:rsidRPr="00A10E66">
        <w:rPr>
          <w:rStyle w:val="ilfuvd"/>
          <w:rFonts w:cstheme="minorHAnsi"/>
          <w:b/>
          <w:bCs/>
          <w:color w:val="222222"/>
          <w:sz w:val="22"/>
          <w:szCs w:val="20"/>
          <w:shd w:val="clear" w:color="auto" w:fill="FFFFFF"/>
        </w:rPr>
        <w:t>Asset.</w:t>
      </w:r>
      <w:r>
        <w:rPr>
          <w:rStyle w:val="ilfuvd"/>
          <w:rFonts w:cstheme="minorHAnsi"/>
          <w:bCs/>
          <w:color w:val="222222"/>
          <w:sz w:val="22"/>
          <w:szCs w:val="20"/>
          <w:shd w:val="clear" w:color="auto" w:fill="FFFFFF"/>
        </w:rPr>
        <w:t xml:space="preserve">   Solar PV modules and </w:t>
      </w:r>
      <w:r w:rsidRPr="00A10E66">
        <w:rPr>
          <w:rStyle w:val="ilfuvd"/>
          <w:rFonts w:cstheme="minorHAnsi"/>
          <w:bCs/>
          <w:color w:val="222222"/>
          <w:sz w:val="22"/>
          <w:szCs w:val="20"/>
          <w:shd w:val="clear" w:color="auto" w:fill="FFFFFF"/>
        </w:rPr>
        <w:t xml:space="preserve">HVAC equipment </w:t>
      </w:r>
      <w:r>
        <w:rPr>
          <w:rStyle w:val="ilfuvd"/>
          <w:rFonts w:cstheme="minorHAnsi"/>
          <w:bCs/>
          <w:color w:val="222222"/>
          <w:sz w:val="22"/>
          <w:szCs w:val="20"/>
          <w:shd w:val="clear" w:color="auto" w:fill="FFFFFF"/>
        </w:rPr>
        <w:t xml:space="preserve">(furnaces, heat pumps, A/C units, etc.) </w:t>
      </w:r>
      <w:r w:rsidRPr="00A10E66">
        <w:rPr>
          <w:rStyle w:val="ilfuvd"/>
          <w:rFonts w:cstheme="minorHAnsi"/>
          <w:bCs/>
          <w:color w:val="222222"/>
          <w:sz w:val="22"/>
          <w:szCs w:val="20"/>
          <w:shd w:val="clear" w:color="auto" w:fill="FFFFFF"/>
        </w:rPr>
        <w:t xml:space="preserve">would be considered </w:t>
      </w:r>
      <w:r>
        <w:rPr>
          <w:rStyle w:val="ilfuvd"/>
          <w:rFonts w:cstheme="minorHAnsi"/>
          <w:bCs/>
          <w:color w:val="222222"/>
          <w:sz w:val="22"/>
          <w:szCs w:val="20"/>
          <w:shd w:val="clear" w:color="auto" w:fill="FFFFFF"/>
        </w:rPr>
        <w:t>as a</w:t>
      </w:r>
      <w:r w:rsidRPr="00A10E66">
        <w:rPr>
          <w:rStyle w:val="ilfuvd"/>
          <w:rFonts w:cstheme="minorHAnsi"/>
          <w:bCs/>
          <w:color w:val="222222"/>
          <w:sz w:val="22"/>
          <w:szCs w:val="20"/>
          <w:shd w:val="clear" w:color="auto" w:fill="FFFFFF"/>
        </w:rPr>
        <w:t>ssets</w:t>
      </w:r>
      <w:r w:rsidRPr="00A10E66">
        <w:rPr>
          <w:rStyle w:val="ilfuvd"/>
          <w:rFonts w:cstheme="minorHAnsi"/>
          <w:color w:val="222222"/>
          <w:sz w:val="22"/>
          <w:szCs w:val="20"/>
          <w:shd w:val="clear" w:color="auto" w:fill="FFFFFF"/>
        </w:rPr>
        <w:t> that have an estimated useful </w:t>
      </w:r>
      <w:r w:rsidRPr="00A10E66">
        <w:rPr>
          <w:rStyle w:val="ilfuvd"/>
          <w:rFonts w:cstheme="minorHAnsi"/>
          <w:bCs/>
          <w:color w:val="222222"/>
          <w:sz w:val="22"/>
          <w:szCs w:val="20"/>
          <w:shd w:val="clear" w:color="auto" w:fill="FFFFFF"/>
        </w:rPr>
        <w:t>lifespan</w:t>
      </w:r>
      <w:r w:rsidRPr="00A10E66">
        <w:rPr>
          <w:rStyle w:val="ilfuvd"/>
          <w:rFonts w:cstheme="minorHAnsi"/>
          <w:color w:val="222222"/>
          <w:sz w:val="22"/>
          <w:szCs w:val="20"/>
          <w:shd w:val="clear" w:color="auto" w:fill="FFFFFF"/>
        </w:rPr>
        <w:t> of 15</w:t>
      </w:r>
      <w:r>
        <w:rPr>
          <w:rStyle w:val="ilfuvd"/>
          <w:rFonts w:cstheme="minorHAnsi"/>
          <w:color w:val="222222"/>
          <w:sz w:val="22"/>
          <w:szCs w:val="20"/>
          <w:shd w:val="clear" w:color="auto" w:fill="FFFFFF"/>
        </w:rPr>
        <w:t>-20</w:t>
      </w:r>
      <w:r w:rsidRPr="00A10E66">
        <w:rPr>
          <w:rStyle w:val="ilfuvd"/>
          <w:rFonts w:cstheme="minorHAnsi"/>
          <w:color w:val="222222"/>
          <w:sz w:val="22"/>
          <w:szCs w:val="20"/>
          <w:shd w:val="clear" w:color="auto" w:fill="FFFFFF"/>
        </w:rPr>
        <w:t xml:space="preserve"> years</w:t>
      </w:r>
      <w:r>
        <w:rPr>
          <w:rStyle w:val="ilfuvd"/>
          <w:rFonts w:cstheme="minorHAnsi"/>
          <w:color w:val="222222"/>
          <w:sz w:val="22"/>
          <w:szCs w:val="20"/>
          <w:shd w:val="clear" w:color="auto" w:fill="FFFFFF"/>
        </w:rPr>
        <w:t>.</w:t>
      </w:r>
    </w:p>
    <w:p w:rsidR="00A10E66" w:rsidRDefault="00A10E66" w:rsidP="00394D52">
      <w:pPr>
        <w:rPr>
          <w:rFonts w:cstheme="minorHAnsi"/>
        </w:rPr>
      </w:pPr>
      <w:r>
        <w:rPr>
          <w:rFonts w:cstheme="minorHAnsi"/>
        </w:rPr>
        <w:t xml:space="preserve">A </w:t>
      </w:r>
      <w:r w:rsidRPr="00A10E66">
        <w:rPr>
          <w:rFonts w:cstheme="minorHAnsi"/>
        </w:rPr>
        <w:t>L</w:t>
      </w:r>
      <w:r>
        <w:rPr>
          <w:rFonts w:cstheme="minorHAnsi"/>
        </w:rPr>
        <w:t xml:space="preserve">ife </w:t>
      </w:r>
      <w:r w:rsidRPr="00A10E66">
        <w:rPr>
          <w:rFonts w:cstheme="minorHAnsi"/>
        </w:rPr>
        <w:t>C</w:t>
      </w:r>
      <w:r>
        <w:rPr>
          <w:rFonts w:cstheme="minorHAnsi"/>
        </w:rPr>
        <w:t xml:space="preserve">ycle </w:t>
      </w:r>
      <w:r w:rsidRPr="00A10E66">
        <w:rPr>
          <w:rFonts w:cstheme="minorHAnsi"/>
        </w:rPr>
        <w:t>C</w:t>
      </w:r>
      <w:r>
        <w:rPr>
          <w:rFonts w:cstheme="minorHAnsi"/>
        </w:rPr>
        <w:t xml:space="preserve">ost </w:t>
      </w:r>
      <w:r w:rsidRPr="00A10E66">
        <w:rPr>
          <w:rFonts w:cstheme="minorHAnsi"/>
        </w:rPr>
        <w:t>A</w:t>
      </w:r>
      <w:r>
        <w:rPr>
          <w:rFonts w:cstheme="minorHAnsi"/>
        </w:rPr>
        <w:t>nalysis</w:t>
      </w:r>
      <w:r w:rsidRPr="00A10E66">
        <w:rPr>
          <w:rFonts w:cstheme="minorHAnsi"/>
        </w:rPr>
        <w:t xml:space="preserve"> </w:t>
      </w:r>
      <w:r>
        <w:rPr>
          <w:rFonts w:cstheme="minorHAnsi"/>
        </w:rPr>
        <w:t xml:space="preserve">identifies the total cost over the useful lifespan of the equipment.   We assume the lifespan is 20 years for this example involving energy related equipment.   The total cost captures the initial cost and the recurring or ongoing annual operational cost over the 20-year period.  </w:t>
      </w:r>
    </w:p>
    <w:tbl>
      <w:tblPr>
        <w:tblStyle w:val="TableGrid"/>
        <w:tblW w:w="0" w:type="auto"/>
        <w:tblLook w:val="04A0" w:firstRow="1" w:lastRow="0" w:firstColumn="1" w:lastColumn="0" w:noHBand="0" w:noVBand="1"/>
      </w:tblPr>
      <w:tblGrid>
        <w:gridCol w:w="2023"/>
        <w:gridCol w:w="1227"/>
        <w:gridCol w:w="1596"/>
        <w:gridCol w:w="2203"/>
        <w:gridCol w:w="1598"/>
        <w:gridCol w:w="1423"/>
      </w:tblGrid>
      <w:tr w:rsidR="00DD31C3" w:rsidTr="00D4107B">
        <w:tc>
          <w:tcPr>
            <w:tcW w:w="2065" w:type="dxa"/>
            <w:shd w:val="clear" w:color="auto" w:fill="2F5496" w:themeFill="accent5" w:themeFillShade="BF"/>
          </w:tcPr>
          <w:p w:rsidR="00DD31C3" w:rsidRPr="00A10E66" w:rsidRDefault="00DD31C3" w:rsidP="00DD31C3">
            <w:pPr>
              <w:rPr>
                <w:rFonts w:cstheme="minorHAnsi"/>
                <w:color w:val="FFFFFF" w:themeColor="background1"/>
              </w:rPr>
            </w:pPr>
          </w:p>
        </w:tc>
        <w:tc>
          <w:tcPr>
            <w:tcW w:w="1080" w:type="dxa"/>
            <w:shd w:val="clear" w:color="auto" w:fill="2F5496" w:themeFill="accent5" w:themeFillShade="BF"/>
          </w:tcPr>
          <w:p w:rsidR="00DD31C3" w:rsidRPr="00A10E66" w:rsidRDefault="00DD31C3" w:rsidP="00DD31C3">
            <w:pPr>
              <w:rPr>
                <w:rFonts w:cstheme="minorHAnsi"/>
                <w:color w:val="FFFFFF" w:themeColor="background1"/>
              </w:rPr>
            </w:pPr>
            <w:r w:rsidRPr="00A10E66">
              <w:rPr>
                <w:rFonts w:cstheme="minorHAnsi"/>
                <w:color w:val="FFFFFF" w:themeColor="background1"/>
              </w:rPr>
              <w:t>Initial Cost</w:t>
            </w:r>
          </w:p>
        </w:tc>
        <w:tc>
          <w:tcPr>
            <w:tcW w:w="1618" w:type="dxa"/>
            <w:shd w:val="clear" w:color="auto" w:fill="2F5496" w:themeFill="accent5" w:themeFillShade="BF"/>
          </w:tcPr>
          <w:p w:rsidR="00DD31C3" w:rsidRPr="00A10E66" w:rsidRDefault="00DD31C3" w:rsidP="00DD31C3">
            <w:pPr>
              <w:rPr>
                <w:rFonts w:cstheme="minorHAnsi"/>
                <w:color w:val="FFFFFF" w:themeColor="background1"/>
              </w:rPr>
            </w:pPr>
            <w:r w:rsidRPr="00A10E66">
              <w:rPr>
                <w:rFonts w:cstheme="minorHAnsi"/>
                <w:color w:val="FFFFFF" w:themeColor="background1"/>
              </w:rPr>
              <w:t>Recurring</w:t>
            </w:r>
            <w:r>
              <w:rPr>
                <w:rFonts w:cstheme="minorHAnsi"/>
                <w:color w:val="FFFFFF" w:themeColor="background1"/>
              </w:rPr>
              <w:t xml:space="preserve"> </w:t>
            </w:r>
            <w:r w:rsidRPr="00A10E66">
              <w:rPr>
                <w:rFonts w:cstheme="minorHAnsi"/>
                <w:color w:val="FFFFFF" w:themeColor="background1"/>
              </w:rPr>
              <w:t>/</w:t>
            </w:r>
            <w:r>
              <w:rPr>
                <w:rFonts w:cstheme="minorHAnsi"/>
                <w:color w:val="FFFFFF" w:themeColor="background1"/>
              </w:rPr>
              <w:t xml:space="preserve"> </w:t>
            </w:r>
            <w:r w:rsidRPr="00A10E66">
              <w:rPr>
                <w:rFonts w:cstheme="minorHAnsi"/>
                <w:color w:val="FFFFFF" w:themeColor="background1"/>
              </w:rPr>
              <w:t xml:space="preserve">Ongoing Cost </w:t>
            </w:r>
            <w:r w:rsidRPr="00DD31C3">
              <w:rPr>
                <w:rFonts w:cstheme="minorHAnsi"/>
                <w:color w:val="FFFFFF" w:themeColor="background1"/>
                <w:sz w:val="20"/>
              </w:rPr>
              <w:t>over 20 years</w:t>
            </w:r>
          </w:p>
        </w:tc>
        <w:tc>
          <w:tcPr>
            <w:tcW w:w="2252" w:type="dxa"/>
            <w:shd w:val="clear" w:color="auto" w:fill="2F5496" w:themeFill="accent5" w:themeFillShade="BF"/>
          </w:tcPr>
          <w:p w:rsidR="00DD31C3" w:rsidRPr="00DD31C3" w:rsidRDefault="00DD31C3" w:rsidP="00DD31C3">
            <w:pPr>
              <w:jc w:val="center"/>
              <w:rPr>
                <w:rFonts w:cstheme="minorHAnsi"/>
                <w:color w:val="FFFFFF" w:themeColor="background1"/>
                <w:sz w:val="20"/>
              </w:rPr>
            </w:pPr>
            <w:r>
              <w:rPr>
                <w:rFonts w:cstheme="minorHAnsi"/>
                <w:color w:val="FFFFFF" w:themeColor="background1"/>
              </w:rPr>
              <w:t>Ignored Social Costs</w:t>
            </w:r>
            <w:r>
              <w:rPr>
                <w:rFonts w:cstheme="minorHAnsi"/>
                <w:color w:val="FFFFFF" w:themeColor="background1"/>
              </w:rPr>
              <w:br/>
            </w:r>
            <w:r w:rsidRPr="00DD31C3">
              <w:rPr>
                <w:rFonts w:cstheme="minorHAnsi"/>
                <w:color w:val="FFFFFF" w:themeColor="background1"/>
                <w:sz w:val="20"/>
              </w:rPr>
              <w:t>(Externalities)</w:t>
            </w:r>
          </w:p>
          <w:p w:rsidR="00DD31C3" w:rsidRPr="00A10E66" w:rsidRDefault="00DD31C3" w:rsidP="00DD31C3">
            <w:pPr>
              <w:jc w:val="center"/>
              <w:rPr>
                <w:rFonts w:cstheme="minorHAnsi"/>
                <w:color w:val="FFFFFF" w:themeColor="background1"/>
              </w:rPr>
            </w:pPr>
            <w:r w:rsidRPr="00DD31C3">
              <w:rPr>
                <w:rFonts w:cstheme="minorHAnsi"/>
                <w:color w:val="FFFFFF" w:themeColor="background1"/>
                <w:sz w:val="20"/>
              </w:rPr>
              <w:t>(Injustices)</w:t>
            </w:r>
          </w:p>
        </w:tc>
        <w:tc>
          <w:tcPr>
            <w:tcW w:w="1620" w:type="dxa"/>
            <w:shd w:val="clear" w:color="auto" w:fill="2F5496" w:themeFill="accent5" w:themeFillShade="BF"/>
          </w:tcPr>
          <w:p w:rsidR="00DD31C3" w:rsidRPr="00A10E66" w:rsidRDefault="00DD31C3" w:rsidP="00DD31C3">
            <w:pPr>
              <w:jc w:val="center"/>
              <w:rPr>
                <w:rFonts w:cstheme="minorHAnsi"/>
                <w:color w:val="FFFFFF" w:themeColor="background1"/>
              </w:rPr>
            </w:pPr>
            <w:r>
              <w:rPr>
                <w:rFonts w:cstheme="minorHAnsi"/>
                <w:color w:val="FFFFFF" w:themeColor="background1"/>
              </w:rPr>
              <w:t xml:space="preserve">Classical </w:t>
            </w:r>
            <w:r w:rsidRPr="00A10E66">
              <w:rPr>
                <w:rFonts w:cstheme="minorHAnsi"/>
                <w:color w:val="FFFFFF" w:themeColor="background1"/>
              </w:rPr>
              <w:t>Total</w:t>
            </w:r>
            <w:r>
              <w:rPr>
                <w:rFonts w:cstheme="minorHAnsi"/>
                <w:color w:val="FFFFFF" w:themeColor="background1"/>
              </w:rPr>
              <w:t xml:space="preserve"> </w:t>
            </w:r>
            <w:r w:rsidRPr="00A10E66">
              <w:rPr>
                <w:rFonts w:cstheme="minorHAnsi"/>
                <w:color w:val="FFFFFF" w:themeColor="background1"/>
              </w:rPr>
              <w:t>Cost</w:t>
            </w:r>
          </w:p>
        </w:tc>
        <w:tc>
          <w:tcPr>
            <w:tcW w:w="1435" w:type="dxa"/>
            <w:shd w:val="clear" w:color="auto" w:fill="2F5496" w:themeFill="accent5" w:themeFillShade="BF"/>
          </w:tcPr>
          <w:p w:rsidR="00DD31C3" w:rsidRPr="00A10E66" w:rsidRDefault="00DD31C3" w:rsidP="00DD31C3">
            <w:pPr>
              <w:jc w:val="center"/>
              <w:rPr>
                <w:rFonts w:cstheme="minorHAnsi"/>
                <w:color w:val="FFFFFF" w:themeColor="background1"/>
              </w:rPr>
            </w:pPr>
            <w:r>
              <w:rPr>
                <w:rFonts w:cstheme="minorHAnsi"/>
                <w:color w:val="FFFFFF" w:themeColor="background1"/>
              </w:rPr>
              <w:t>True</w:t>
            </w:r>
            <w:r w:rsidRPr="00DD31C3">
              <w:rPr>
                <w:rFonts w:cstheme="minorHAnsi"/>
                <w:color w:val="FFFFFF" w:themeColor="background1"/>
                <w:vertAlign w:val="superscript"/>
              </w:rPr>
              <w:t>4</w:t>
            </w:r>
            <w:r>
              <w:rPr>
                <w:rFonts w:cstheme="minorHAnsi"/>
                <w:color w:val="FFFFFF" w:themeColor="background1"/>
              </w:rPr>
              <w:t xml:space="preserve"> </w:t>
            </w:r>
            <w:r>
              <w:rPr>
                <w:rFonts w:cstheme="minorHAnsi"/>
                <w:color w:val="FFFFFF" w:themeColor="background1"/>
              </w:rPr>
              <w:br/>
              <w:t>Total Cost</w:t>
            </w:r>
          </w:p>
        </w:tc>
      </w:tr>
      <w:tr w:rsidR="00DD31C3" w:rsidTr="00D4107B">
        <w:tc>
          <w:tcPr>
            <w:tcW w:w="2065" w:type="dxa"/>
            <w:shd w:val="clear" w:color="auto" w:fill="FFF2CC" w:themeFill="accent4" w:themeFillTint="33"/>
          </w:tcPr>
          <w:p w:rsidR="00DD31C3" w:rsidRPr="00A10E66" w:rsidRDefault="00DD31C3" w:rsidP="00DD31C3">
            <w:pPr>
              <w:jc w:val="center"/>
              <w:rPr>
                <w:rFonts w:cstheme="minorHAnsi"/>
                <w:b/>
              </w:rPr>
            </w:pPr>
            <w:r w:rsidRPr="00A10E66">
              <w:rPr>
                <w:rFonts w:cstheme="minorHAnsi"/>
                <w:b/>
              </w:rPr>
              <w:t>Fossil Fuel System</w:t>
            </w:r>
          </w:p>
          <w:p w:rsidR="00DD31C3" w:rsidRDefault="00DD31C3" w:rsidP="00DD31C3">
            <w:pPr>
              <w:jc w:val="center"/>
              <w:rPr>
                <w:rFonts w:cstheme="minorHAnsi"/>
              </w:rPr>
            </w:pPr>
            <w:r w:rsidRPr="00DD31C3">
              <w:rPr>
                <w:rFonts w:cstheme="minorHAnsi"/>
                <w:sz w:val="20"/>
              </w:rPr>
              <w:t>(Xcel electric and natural gas)</w:t>
            </w:r>
          </w:p>
        </w:tc>
        <w:tc>
          <w:tcPr>
            <w:tcW w:w="1080" w:type="dxa"/>
          </w:tcPr>
          <w:p w:rsidR="00DD31C3" w:rsidRDefault="00DD31C3" w:rsidP="00DD31C3">
            <w:pPr>
              <w:jc w:val="center"/>
              <w:rPr>
                <w:rFonts w:cstheme="minorHAnsi"/>
              </w:rPr>
            </w:pPr>
            <w:r>
              <w:rPr>
                <w:rFonts w:cstheme="minorHAnsi"/>
              </w:rPr>
              <w:t>Minimal</w:t>
            </w:r>
            <w:r w:rsidRPr="00A10E66">
              <w:rPr>
                <w:rFonts w:cstheme="minorHAnsi"/>
                <w:vertAlign w:val="superscript"/>
              </w:rPr>
              <w:t>1</w:t>
            </w:r>
          </w:p>
        </w:tc>
        <w:tc>
          <w:tcPr>
            <w:tcW w:w="1618" w:type="dxa"/>
          </w:tcPr>
          <w:p w:rsidR="00DD31C3" w:rsidRDefault="00DD31C3" w:rsidP="00DD31C3">
            <w:pPr>
              <w:jc w:val="center"/>
              <w:rPr>
                <w:rFonts w:cstheme="minorHAnsi"/>
              </w:rPr>
            </w:pPr>
            <w:r>
              <w:rPr>
                <w:rFonts w:cstheme="minorHAnsi"/>
              </w:rPr>
              <w:t>Significant</w:t>
            </w:r>
          </w:p>
        </w:tc>
        <w:tc>
          <w:tcPr>
            <w:tcW w:w="2252" w:type="dxa"/>
            <w:shd w:val="clear" w:color="auto" w:fill="FF0000"/>
          </w:tcPr>
          <w:p w:rsidR="00DD31C3" w:rsidRDefault="00DD31C3" w:rsidP="00DD31C3">
            <w:pPr>
              <w:jc w:val="center"/>
              <w:rPr>
                <w:rFonts w:cstheme="minorHAnsi"/>
              </w:rPr>
            </w:pPr>
            <w:r>
              <w:rPr>
                <w:rFonts w:cstheme="minorHAnsi"/>
              </w:rPr>
              <w:t>Significant to Extreme</w:t>
            </w:r>
            <w:r w:rsidRPr="00DD31C3">
              <w:rPr>
                <w:rFonts w:cstheme="minorHAnsi"/>
                <w:vertAlign w:val="superscript"/>
              </w:rPr>
              <w:t>3</w:t>
            </w:r>
          </w:p>
        </w:tc>
        <w:tc>
          <w:tcPr>
            <w:tcW w:w="1620" w:type="dxa"/>
            <w:shd w:val="clear" w:color="auto" w:fill="auto"/>
          </w:tcPr>
          <w:p w:rsidR="00DD31C3" w:rsidRDefault="00DD31C3" w:rsidP="00DD31C3">
            <w:pPr>
              <w:jc w:val="center"/>
              <w:rPr>
                <w:rFonts w:cstheme="minorHAnsi"/>
              </w:rPr>
            </w:pPr>
            <w:r>
              <w:rPr>
                <w:rFonts w:cstheme="minorHAnsi"/>
              </w:rPr>
              <w:t>Minimal + Significant</w:t>
            </w:r>
          </w:p>
        </w:tc>
        <w:tc>
          <w:tcPr>
            <w:tcW w:w="1435" w:type="dxa"/>
            <w:shd w:val="clear" w:color="auto" w:fill="FF0000"/>
          </w:tcPr>
          <w:p w:rsidR="00DD31C3" w:rsidRDefault="00DD31C3" w:rsidP="00DD31C3">
            <w:pPr>
              <w:jc w:val="center"/>
              <w:rPr>
                <w:rFonts w:cstheme="minorHAnsi"/>
              </w:rPr>
            </w:pPr>
            <w:r>
              <w:rPr>
                <w:rFonts w:cstheme="minorHAnsi"/>
              </w:rPr>
              <w:t>Significant to Extreme</w:t>
            </w:r>
          </w:p>
        </w:tc>
      </w:tr>
      <w:tr w:rsidR="00DD31C3" w:rsidTr="00D4107B">
        <w:tc>
          <w:tcPr>
            <w:tcW w:w="2065" w:type="dxa"/>
            <w:shd w:val="clear" w:color="auto" w:fill="FFF2CC" w:themeFill="accent4" w:themeFillTint="33"/>
          </w:tcPr>
          <w:p w:rsidR="00DD31C3" w:rsidRDefault="00DD31C3" w:rsidP="00DD31C3">
            <w:pPr>
              <w:jc w:val="center"/>
              <w:rPr>
                <w:rFonts w:cstheme="minorHAnsi"/>
              </w:rPr>
            </w:pPr>
            <w:r>
              <w:rPr>
                <w:rFonts w:cstheme="minorHAnsi"/>
              </w:rPr>
              <w:t xml:space="preserve">Sustainable System </w:t>
            </w:r>
            <w:r>
              <w:rPr>
                <w:rFonts w:cstheme="minorHAnsi"/>
              </w:rPr>
              <w:br/>
            </w:r>
            <w:r>
              <w:rPr>
                <w:rFonts w:cstheme="minorHAnsi"/>
                <w:sz w:val="20"/>
              </w:rPr>
              <w:t>(S</w:t>
            </w:r>
            <w:r w:rsidRPr="00DD31C3">
              <w:rPr>
                <w:rFonts w:cstheme="minorHAnsi"/>
                <w:sz w:val="20"/>
              </w:rPr>
              <w:t xml:space="preserve">olar </w:t>
            </w:r>
            <w:r>
              <w:rPr>
                <w:rFonts w:cstheme="minorHAnsi"/>
                <w:sz w:val="20"/>
              </w:rPr>
              <w:t>electric</w:t>
            </w:r>
            <w:r w:rsidRPr="00DD31C3">
              <w:rPr>
                <w:rFonts w:cstheme="minorHAnsi"/>
                <w:sz w:val="20"/>
              </w:rPr>
              <w:t xml:space="preserve"> and Heat Pump heating and cooling)</w:t>
            </w:r>
          </w:p>
        </w:tc>
        <w:tc>
          <w:tcPr>
            <w:tcW w:w="1080" w:type="dxa"/>
          </w:tcPr>
          <w:p w:rsidR="00DD31C3" w:rsidRDefault="00DD31C3" w:rsidP="00DD31C3">
            <w:pPr>
              <w:jc w:val="center"/>
              <w:rPr>
                <w:rFonts w:cstheme="minorHAnsi"/>
              </w:rPr>
            </w:pPr>
            <w:r>
              <w:rPr>
                <w:rFonts w:cstheme="minorHAnsi"/>
              </w:rPr>
              <w:t>Significant</w:t>
            </w:r>
          </w:p>
        </w:tc>
        <w:tc>
          <w:tcPr>
            <w:tcW w:w="1618" w:type="dxa"/>
          </w:tcPr>
          <w:p w:rsidR="00DD31C3" w:rsidRDefault="00DD31C3" w:rsidP="00DD31C3">
            <w:pPr>
              <w:jc w:val="center"/>
              <w:rPr>
                <w:rFonts w:cstheme="minorHAnsi"/>
              </w:rPr>
            </w:pPr>
            <w:r>
              <w:rPr>
                <w:rFonts w:cstheme="minorHAnsi"/>
              </w:rPr>
              <w:t>Minimal</w:t>
            </w:r>
            <w:r w:rsidRPr="00A10E66">
              <w:rPr>
                <w:rFonts w:cstheme="minorHAnsi"/>
                <w:vertAlign w:val="superscript"/>
              </w:rPr>
              <w:t>2</w:t>
            </w:r>
          </w:p>
        </w:tc>
        <w:tc>
          <w:tcPr>
            <w:tcW w:w="2252" w:type="dxa"/>
            <w:shd w:val="clear" w:color="auto" w:fill="92D050"/>
          </w:tcPr>
          <w:p w:rsidR="00DD31C3" w:rsidRPr="00DD31C3" w:rsidRDefault="00DD31C3" w:rsidP="00DD31C3">
            <w:pPr>
              <w:ind w:left="360"/>
              <w:rPr>
                <w:rFonts w:cstheme="minorHAnsi"/>
              </w:rPr>
            </w:pPr>
            <w:r>
              <w:rPr>
                <w:rFonts w:cstheme="minorHAnsi"/>
              </w:rPr>
              <w:t xml:space="preserve">Zero </w:t>
            </w:r>
            <w:r w:rsidRPr="00DD31C3">
              <w:rPr>
                <w:rFonts w:cstheme="minorHAnsi"/>
              </w:rPr>
              <w:t>To Minimal</w:t>
            </w:r>
          </w:p>
        </w:tc>
        <w:tc>
          <w:tcPr>
            <w:tcW w:w="1620" w:type="dxa"/>
            <w:shd w:val="clear" w:color="auto" w:fill="auto"/>
          </w:tcPr>
          <w:p w:rsidR="00DD31C3" w:rsidRDefault="00DD31C3" w:rsidP="00DD31C3">
            <w:pPr>
              <w:jc w:val="center"/>
              <w:rPr>
                <w:rFonts w:cstheme="minorHAnsi"/>
              </w:rPr>
            </w:pPr>
            <w:r>
              <w:rPr>
                <w:rFonts w:cstheme="minorHAnsi"/>
              </w:rPr>
              <w:t>Minimal + Significant</w:t>
            </w:r>
          </w:p>
        </w:tc>
        <w:tc>
          <w:tcPr>
            <w:tcW w:w="1435" w:type="dxa"/>
            <w:shd w:val="clear" w:color="auto" w:fill="92D050"/>
          </w:tcPr>
          <w:p w:rsidR="00DD31C3" w:rsidRDefault="00DD31C3" w:rsidP="00DD31C3">
            <w:pPr>
              <w:jc w:val="center"/>
              <w:rPr>
                <w:rFonts w:cstheme="minorHAnsi"/>
              </w:rPr>
            </w:pPr>
            <w:r>
              <w:rPr>
                <w:rFonts w:cstheme="minorHAnsi"/>
              </w:rPr>
              <w:t>Significant</w:t>
            </w:r>
          </w:p>
        </w:tc>
      </w:tr>
      <w:tr w:rsidR="00DD31C3" w:rsidTr="00D4107B">
        <w:tc>
          <w:tcPr>
            <w:tcW w:w="10070" w:type="dxa"/>
            <w:gridSpan w:val="6"/>
          </w:tcPr>
          <w:p w:rsidR="00DD31C3" w:rsidRDefault="00DD31C3" w:rsidP="00DD31C3">
            <w:pPr>
              <w:rPr>
                <w:rFonts w:cstheme="minorHAnsi"/>
              </w:rPr>
            </w:pPr>
            <w:r>
              <w:rPr>
                <w:rFonts w:cstheme="minorHAnsi"/>
              </w:rPr>
              <w:t>Notes:</w:t>
            </w:r>
          </w:p>
          <w:p w:rsidR="00DD31C3" w:rsidRPr="00DD31C3" w:rsidRDefault="00DD31C3" w:rsidP="00DD31C3">
            <w:pPr>
              <w:pStyle w:val="ListParagraph"/>
              <w:numPr>
                <w:ilvl w:val="0"/>
                <w:numId w:val="17"/>
              </w:numPr>
              <w:rPr>
                <w:rFonts w:cstheme="minorHAnsi"/>
                <w:sz w:val="18"/>
              </w:rPr>
            </w:pPr>
            <w:r w:rsidRPr="00DD31C3">
              <w:rPr>
                <w:rFonts w:cstheme="minorHAnsi"/>
                <w:sz w:val="18"/>
              </w:rPr>
              <w:t xml:space="preserve">First Universalist had 10 natural gas furnaces with external A/C units.  Two </w:t>
            </w:r>
            <w:r>
              <w:rPr>
                <w:rFonts w:cstheme="minorHAnsi"/>
                <w:sz w:val="18"/>
              </w:rPr>
              <w:t xml:space="preserve">old </w:t>
            </w:r>
            <w:r w:rsidRPr="00DD31C3">
              <w:rPr>
                <w:rFonts w:cstheme="minorHAnsi"/>
                <w:sz w:val="18"/>
              </w:rPr>
              <w:t xml:space="preserve">furnaces </w:t>
            </w:r>
            <w:r>
              <w:rPr>
                <w:rFonts w:cstheme="minorHAnsi"/>
                <w:sz w:val="18"/>
              </w:rPr>
              <w:t xml:space="preserve">needed to be </w:t>
            </w:r>
            <w:r w:rsidRPr="00DD31C3">
              <w:rPr>
                <w:rFonts w:cstheme="minorHAnsi"/>
                <w:sz w:val="18"/>
              </w:rPr>
              <w:t>replace</w:t>
            </w:r>
            <w:r>
              <w:rPr>
                <w:rFonts w:cstheme="minorHAnsi"/>
                <w:sz w:val="18"/>
              </w:rPr>
              <w:t>d</w:t>
            </w:r>
            <w:r w:rsidRPr="00DD31C3">
              <w:rPr>
                <w:rFonts w:cstheme="minorHAnsi"/>
                <w:sz w:val="18"/>
              </w:rPr>
              <w:t xml:space="preserve">. </w:t>
            </w:r>
          </w:p>
          <w:p w:rsidR="00DD31C3" w:rsidRPr="00DD31C3" w:rsidRDefault="00DD31C3" w:rsidP="00DD31C3">
            <w:pPr>
              <w:pStyle w:val="ListParagraph"/>
              <w:numPr>
                <w:ilvl w:val="0"/>
                <w:numId w:val="17"/>
              </w:numPr>
              <w:rPr>
                <w:rFonts w:cstheme="minorHAnsi"/>
                <w:sz w:val="18"/>
              </w:rPr>
            </w:pPr>
            <w:r w:rsidRPr="00DD31C3">
              <w:rPr>
                <w:rFonts w:cstheme="minorHAnsi"/>
                <w:sz w:val="18"/>
              </w:rPr>
              <w:t xml:space="preserve">Even if the new energy system generates 100% of the church energy needs, there is a monthly Xcel “Demand” or “Time of Use” charge because we remain in the grid and use Xcel as our “energy bank.” </w:t>
            </w:r>
          </w:p>
          <w:p w:rsidR="00DD31C3" w:rsidRDefault="00DD31C3" w:rsidP="00DD31C3">
            <w:pPr>
              <w:pStyle w:val="ListParagraph"/>
              <w:numPr>
                <w:ilvl w:val="0"/>
                <w:numId w:val="17"/>
              </w:numPr>
              <w:rPr>
                <w:rFonts w:cstheme="minorHAnsi"/>
                <w:sz w:val="18"/>
              </w:rPr>
            </w:pPr>
            <w:r w:rsidRPr="00DD31C3">
              <w:rPr>
                <w:rFonts w:cstheme="minorHAnsi"/>
                <w:sz w:val="18"/>
              </w:rPr>
              <w:t>Extreme refers to ignored health issues as well as the climate crisis and existential threat of a sixth mass extinction</w:t>
            </w:r>
          </w:p>
          <w:p w:rsidR="00DD31C3" w:rsidRPr="00DD31C3" w:rsidRDefault="00DD31C3" w:rsidP="00DD31C3">
            <w:pPr>
              <w:pStyle w:val="ListParagraph"/>
              <w:numPr>
                <w:ilvl w:val="0"/>
                <w:numId w:val="17"/>
              </w:numPr>
              <w:rPr>
                <w:rFonts w:cstheme="minorHAnsi"/>
                <w:sz w:val="18"/>
              </w:rPr>
            </w:pPr>
            <w:r>
              <w:rPr>
                <w:rFonts w:cstheme="minorHAnsi"/>
                <w:sz w:val="18"/>
              </w:rPr>
              <w:t xml:space="preserve">“True” cost is the ethical/moral/faith-based assessment that does not ignore social costs.    </w:t>
            </w:r>
          </w:p>
          <w:p w:rsidR="00DD31C3" w:rsidRDefault="00DD31C3" w:rsidP="00DD31C3">
            <w:pPr>
              <w:rPr>
                <w:rFonts w:cstheme="minorHAnsi"/>
              </w:rPr>
            </w:pPr>
          </w:p>
        </w:tc>
      </w:tr>
    </w:tbl>
    <w:p w:rsidR="00A10E66" w:rsidRDefault="00A10E66" w:rsidP="00394D52">
      <w:pPr>
        <w:rPr>
          <w:rFonts w:cstheme="minorHAnsi"/>
        </w:rPr>
      </w:pPr>
    </w:p>
    <w:p w:rsidR="00394D52" w:rsidRPr="00A10E66" w:rsidRDefault="00394D52" w:rsidP="00394D52">
      <w:pPr>
        <w:rPr>
          <w:rFonts w:cstheme="minorHAnsi"/>
        </w:rPr>
      </w:pPr>
      <w:r w:rsidRPr="00A10E66">
        <w:rPr>
          <w:rFonts w:cstheme="minorHAnsi"/>
        </w:rPr>
        <w:lastRenderedPageBreak/>
        <w:t>Installing a sustainable energy system requires a significant investment in new capital equipment; so there will be a significant</w:t>
      </w:r>
      <w:r w:rsidRPr="00A10E66">
        <w:rPr>
          <w:rFonts w:cstheme="minorHAnsi"/>
          <w:b/>
        </w:rPr>
        <w:t xml:space="preserve"> initial cost</w:t>
      </w:r>
      <w:r w:rsidRPr="00A10E66">
        <w:rPr>
          <w:rFonts w:cstheme="minorHAnsi"/>
        </w:rPr>
        <w:t xml:space="preserve"> for the new system.  </w:t>
      </w:r>
    </w:p>
    <w:p w:rsidR="00394D52" w:rsidRPr="00A10E66" w:rsidRDefault="00394D52" w:rsidP="00394D52">
      <w:pPr>
        <w:rPr>
          <w:rFonts w:cstheme="minorHAnsi"/>
        </w:rPr>
      </w:pPr>
      <w:r w:rsidRPr="00A10E66">
        <w:rPr>
          <w:rFonts w:cstheme="minorHAnsi"/>
        </w:rPr>
        <w:t xml:space="preserve">Both the existing and proposed energy systems will have </w:t>
      </w:r>
      <w:r w:rsidRPr="00A10E66">
        <w:rPr>
          <w:rFonts w:cstheme="minorHAnsi"/>
          <w:b/>
        </w:rPr>
        <w:t>operating costs</w:t>
      </w:r>
      <w:r w:rsidRPr="00A10E66">
        <w:rPr>
          <w:rFonts w:cstheme="minorHAnsi"/>
        </w:rPr>
        <w:t xml:space="preserve"> generally described as annual costs; the operating cost for the fossil fuel system is significant.  </w:t>
      </w:r>
      <w:r w:rsidR="002136BA" w:rsidRPr="00A10E66">
        <w:rPr>
          <w:rFonts w:cstheme="minorHAnsi"/>
        </w:rPr>
        <w:t xml:space="preserve">There is a monthly charge for gas and electric.  </w:t>
      </w:r>
      <w:r w:rsidR="00A10E66" w:rsidRPr="00A10E66">
        <w:rPr>
          <w:rFonts w:cstheme="minorHAnsi"/>
        </w:rPr>
        <w:t>Typically,</w:t>
      </w:r>
      <w:r w:rsidR="002136BA" w:rsidRPr="00A10E66">
        <w:rPr>
          <w:rFonts w:cstheme="minorHAnsi"/>
        </w:rPr>
        <w:t xml:space="preserve"> the existing equipment is well into its </w:t>
      </w:r>
      <w:r w:rsidR="00FA16B3">
        <w:rPr>
          <w:rFonts w:cstheme="minorHAnsi"/>
        </w:rPr>
        <w:t>operational</w:t>
      </w:r>
      <w:r w:rsidR="002136BA" w:rsidRPr="00A10E66">
        <w:rPr>
          <w:rFonts w:cstheme="minorHAnsi"/>
        </w:rPr>
        <w:t xml:space="preserve"> life and will require replacement within the next 20-years</w:t>
      </w:r>
      <w:r w:rsidR="00FA16B3">
        <w:rPr>
          <w:rFonts w:cstheme="minorHAnsi"/>
        </w:rPr>
        <w:t xml:space="preserve">.  </w:t>
      </w:r>
      <w:r w:rsidR="002136BA" w:rsidRPr="00A10E66">
        <w:rPr>
          <w:rFonts w:cstheme="minorHAnsi"/>
        </w:rPr>
        <w:t xml:space="preserve"> </w:t>
      </w:r>
      <w:r w:rsidR="00FA16B3">
        <w:rPr>
          <w:rFonts w:cstheme="minorHAnsi"/>
        </w:rPr>
        <w:t>T</w:t>
      </w:r>
      <w:r w:rsidR="002136BA" w:rsidRPr="00A10E66">
        <w:rPr>
          <w:rFonts w:cstheme="minorHAnsi"/>
        </w:rPr>
        <w:t xml:space="preserve">he </w:t>
      </w:r>
      <w:r w:rsidR="00FA16B3">
        <w:rPr>
          <w:rFonts w:cstheme="minorHAnsi"/>
        </w:rPr>
        <w:t xml:space="preserve">replacement </w:t>
      </w:r>
      <w:r w:rsidR="002136BA" w:rsidRPr="00A10E66">
        <w:rPr>
          <w:rFonts w:cstheme="minorHAnsi"/>
        </w:rPr>
        <w:t>cost must be included (often as an annual average replacement cost when multiple units are involved).</w:t>
      </w:r>
      <w:r w:rsidRPr="00A10E66">
        <w:rPr>
          <w:rFonts w:cstheme="minorHAnsi"/>
        </w:rPr>
        <w:t xml:space="preserve">   </w:t>
      </w:r>
    </w:p>
    <w:p w:rsidR="00386C62" w:rsidRDefault="00394D52" w:rsidP="00394D52">
      <w:r w:rsidRPr="002034BB">
        <w:t>When the initial and operating costs are added up over 20</w:t>
      </w:r>
      <w:r w:rsidR="002136BA">
        <w:t xml:space="preserve"> </w:t>
      </w:r>
      <w:r w:rsidRPr="002034BB">
        <w:t>years, the renewable energy system life</w:t>
      </w:r>
      <w:r>
        <w:t>-</w:t>
      </w:r>
      <w:r w:rsidRPr="002034BB">
        <w:t xml:space="preserve">cycle cost will be less.  </w:t>
      </w:r>
      <w:r>
        <w:t xml:space="preserve">There </w:t>
      </w:r>
      <w:r w:rsidRPr="002034BB">
        <w:t xml:space="preserve">will </w:t>
      </w:r>
      <w:r>
        <w:t>be</w:t>
      </w:r>
      <w:r w:rsidRPr="002034BB">
        <w:t xml:space="preserve"> a financial gain in transitioning to renewable energy.   </w:t>
      </w:r>
    </w:p>
    <w:p w:rsidR="00394D52" w:rsidRDefault="00394D52" w:rsidP="00386C62">
      <w:pPr>
        <w:pStyle w:val="Heading2"/>
      </w:pPr>
      <w:r w:rsidRPr="002034BB">
        <w:t xml:space="preserve">How do you know </w:t>
      </w:r>
      <w:r>
        <w:t>there will be a financial gain?</w:t>
      </w:r>
    </w:p>
    <w:p w:rsidR="00386C62" w:rsidRDefault="00386C62" w:rsidP="00386C62">
      <w:pPr>
        <w:pStyle w:val="NoSpacing"/>
        <w:jc w:val="center"/>
        <w:rPr>
          <w:b/>
          <w:i/>
          <w:sz w:val="20"/>
        </w:rPr>
      </w:pPr>
    </w:p>
    <w:p w:rsidR="00386C62" w:rsidRPr="00823237" w:rsidRDefault="00386C62" w:rsidP="00386C62">
      <w:pPr>
        <w:pStyle w:val="NoSpacing"/>
        <w:jc w:val="center"/>
        <w:rPr>
          <w:b/>
          <w:i/>
          <w:sz w:val="20"/>
        </w:rPr>
      </w:pPr>
      <w:r w:rsidRPr="00823237">
        <w:rPr>
          <w:b/>
          <w:i/>
          <w:sz w:val="20"/>
        </w:rPr>
        <w:t>“The best way to predict your future is to create it.”</w:t>
      </w:r>
    </w:p>
    <w:p w:rsidR="00386C62" w:rsidRDefault="00386C62" w:rsidP="00386C62">
      <w:pPr>
        <w:pStyle w:val="NoSpacing"/>
        <w:jc w:val="center"/>
        <w:rPr>
          <w:i/>
          <w:sz w:val="20"/>
        </w:rPr>
      </w:pPr>
      <w:r w:rsidRPr="00823237">
        <w:rPr>
          <w:b/>
          <w:i/>
          <w:sz w:val="20"/>
        </w:rPr>
        <w:t xml:space="preserve">… </w:t>
      </w:r>
      <w:r w:rsidRPr="00823237">
        <w:rPr>
          <w:i/>
          <w:sz w:val="20"/>
        </w:rPr>
        <w:t>“Inventing the Future” by Dennis Gabor, 1963</w:t>
      </w:r>
      <w:r>
        <w:rPr>
          <w:i/>
          <w:sz w:val="20"/>
        </w:rPr>
        <w:br/>
      </w:r>
      <w:r w:rsidRPr="00823237">
        <w:rPr>
          <w:i/>
          <w:sz w:val="20"/>
        </w:rPr>
        <w:t>(also attributed to Abraham Lincoln by many)</w:t>
      </w:r>
    </w:p>
    <w:p w:rsidR="00394D52" w:rsidRPr="00BD684C" w:rsidRDefault="00394D52" w:rsidP="00394D52">
      <w:pPr>
        <w:pStyle w:val="NoSpacing"/>
        <w:jc w:val="center"/>
        <w:rPr>
          <w:i/>
          <w:sz w:val="20"/>
        </w:rPr>
      </w:pPr>
    </w:p>
    <w:p w:rsidR="00394D52" w:rsidRDefault="00394D52" w:rsidP="00394D52">
      <w:r>
        <w:t xml:space="preserve">   There will be a financial gain because the </w:t>
      </w:r>
      <w:r w:rsidR="00386C62">
        <w:t>‘Green</w:t>
      </w:r>
      <w:r>
        <w:t xml:space="preserve"> Team</w:t>
      </w:r>
      <w:r w:rsidR="00386C62">
        <w:t>’</w:t>
      </w:r>
      <w:r>
        <w:t xml:space="preserve"> can develop a financing approach that creates the gain.   </w:t>
      </w:r>
    </w:p>
    <w:p w:rsidR="00394D52" w:rsidRDefault="00394D52" w:rsidP="00394D52">
      <w:r>
        <w:t>Th</w:t>
      </w:r>
      <w:r w:rsidR="00386C62">
        <w:t>e</w:t>
      </w:r>
      <w:r>
        <w:t xml:space="preserve"> detailed </w:t>
      </w:r>
      <w:r w:rsidRPr="00386C62">
        <w:rPr>
          <w:b/>
          <w:color w:val="0070C0"/>
        </w:rPr>
        <w:t>Case Study</w:t>
      </w:r>
      <w:r>
        <w:t xml:space="preserve"> describes the technique First Universalist used to construct a funding approach that: </w:t>
      </w:r>
    </w:p>
    <w:p w:rsidR="00394D52" w:rsidRPr="00E65B83" w:rsidRDefault="00394D52" w:rsidP="00394D52">
      <w:pPr>
        <w:pStyle w:val="NoSpacing"/>
        <w:ind w:left="360"/>
      </w:pPr>
      <w:r w:rsidRPr="00E65B83">
        <w:t xml:space="preserve">1) Does not require the church to pay an upfront cost, and </w:t>
      </w:r>
    </w:p>
    <w:p w:rsidR="00394D52" w:rsidRPr="00E65B83" w:rsidRDefault="00394D52" w:rsidP="00394D52">
      <w:pPr>
        <w:pStyle w:val="NoSpacing"/>
        <w:ind w:left="360"/>
      </w:pPr>
      <w:r w:rsidRPr="00E65B83">
        <w:t xml:space="preserve">2) Maintains the same annual </w:t>
      </w:r>
      <w:r w:rsidR="004B4B1D">
        <w:t xml:space="preserve">utility </w:t>
      </w:r>
      <w:r w:rsidRPr="00E65B83">
        <w:t>costs as the current fossil fuel system, and</w:t>
      </w:r>
    </w:p>
    <w:p w:rsidR="00394D52" w:rsidRPr="00E65B83" w:rsidRDefault="00394D52" w:rsidP="00394D52">
      <w:pPr>
        <w:pStyle w:val="NoSpacing"/>
        <w:ind w:left="360"/>
      </w:pPr>
      <w:r w:rsidRPr="00E65B83">
        <w:t xml:space="preserve">3) Results in a financial gain over </w:t>
      </w:r>
      <w:r w:rsidR="00FA16B3">
        <w:t>20 years</w:t>
      </w:r>
      <w:r w:rsidRPr="00E65B83">
        <w:t xml:space="preserve">, and most importantly </w:t>
      </w:r>
    </w:p>
    <w:p w:rsidR="000F7477" w:rsidRDefault="00394D52" w:rsidP="00D4107B">
      <w:pPr>
        <w:pStyle w:val="NoSpacing"/>
        <w:ind w:left="360"/>
      </w:pPr>
      <w:r w:rsidRPr="00E65B83">
        <w:t>4) Allows the church to stop contributing to global warming now - not 5 or 10 years from now when the ex</w:t>
      </w:r>
      <w:r>
        <w:t>isting fossil fuel equipment wears out.</w:t>
      </w:r>
    </w:p>
    <w:p w:rsidR="00394D52" w:rsidRDefault="00394D52" w:rsidP="00394D52">
      <w:r>
        <w:t>At this point, there is enough information to construct a 20-year life cycle cost analysis (LCCA).  A simple spreadsheet can be used to display the results of the LCCA.</w:t>
      </w:r>
    </w:p>
    <w:p w:rsidR="00670A84" w:rsidRDefault="00FA16B3" w:rsidP="00670A84">
      <w:pPr>
        <w:pStyle w:val="Heading2"/>
      </w:pPr>
      <w:r>
        <w:t>Revenue-Neutral Funding Plan Development</w:t>
      </w:r>
    </w:p>
    <w:p w:rsidR="00FA16B3" w:rsidRDefault="00394D52" w:rsidP="00394D52">
      <w:r w:rsidRPr="00B74347">
        <w:t xml:space="preserve">A relatively simple financial spreadsheet model similar to that shown in </w:t>
      </w:r>
      <w:r w:rsidRPr="00B74347">
        <w:fldChar w:fldCharType="begin" w:fldLock="1"/>
      </w:r>
      <w:r w:rsidRPr="00B74347">
        <w:instrText xml:space="preserve"> REF _Ref3140097 \h  \* MERGEFORMAT </w:instrText>
      </w:r>
      <w:r w:rsidRPr="00B74347">
        <w:fldChar w:fldCharType="separate"/>
      </w:r>
      <w:r>
        <w:t xml:space="preserve">Figure </w:t>
      </w:r>
      <w:r w:rsidR="004B4B1D">
        <w:t>1</w:t>
      </w:r>
      <w:r w:rsidRPr="00B74347">
        <w:fldChar w:fldCharType="end"/>
      </w:r>
      <w:r w:rsidRPr="00B74347">
        <w:t xml:space="preserve"> </w:t>
      </w:r>
      <w:r>
        <w:t xml:space="preserve">was used to develop </w:t>
      </w:r>
      <w:r w:rsidRPr="00B74347">
        <w:t xml:space="preserve">a “Revenue Neutral” funding plan.  </w:t>
      </w:r>
    </w:p>
    <w:p w:rsidR="00394D52" w:rsidRDefault="00394D52" w:rsidP="00394D52">
      <w:r w:rsidRPr="00B74347">
        <w:t xml:space="preserve">The final model that was found to be workable for the Green First Team grew out of ideas developed earlier by Christ the Servant Lutheran </w:t>
      </w:r>
      <w:r w:rsidR="00FA16B3">
        <w:t xml:space="preserve">in Louisville, CO, </w:t>
      </w:r>
      <w:r w:rsidRPr="00B74347">
        <w:t>and St. John’s Episcopal</w:t>
      </w:r>
      <w:r>
        <w:t xml:space="preserve"> Church</w:t>
      </w:r>
      <w:r w:rsidR="00FA16B3">
        <w:t>, Boulder, CO</w:t>
      </w:r>
      <w:r w:rsidRPr="00B74347">
        <w:t xml:space="preserve">.   After searching for the better part of a year for a third party investor to fund their new ‘energy system’ </w:t>
      </w:r>
      <w:r w:rsidR="00FA16B3">
        <w:t>(</w:t>
      </w:r>
      <w:r w:rsidRPr="00B74347">
        <w:t>that included both solar and geothermal equipment,</w:t>
      </w:r>
      <w:r w:rsidR="00FA16B3">
        <w:t>)</w:t>
      </w:r>
      <w:r w:rsidRPr="00B74347">
        <w:t xml:space="preserve"> without success, the Green First Team finally gave up.   Using the </w:t>
      </w:r>
      <w:r>
        <w:t xml:space="preserve">self-funding </w:t>
      </w:r>
      <w:r w:rsidRPr="00B74347">
        <w:t xml:space="preserve">examples of the Lutheran and Episcopal congregations, the Green First team considered using an LLC made up of church members.  It turned out that </w:t>
      </w:r>
      <w:r>
        <w:t xml:space="preserve">the </w:t>
      </w:r>
      <w:r w:rsidRPr="00B74347">
        <w:t>LLC approach did not work as well at First Universalist because the congregational demographics did not identify enough members with ‘passive income’ for the amount of capital th</w:t>
      </w:r>
      <w:r>
        <w:t xml:space="preserve">ey </w:t>
      </w:r>
      <w:r w:rsidRPr="00B74347">
        <w:t>needed to raise</w:t>
      </w:r>
      <w:r>
        <w:t>.  N</w:t>
      </w:r>
      <w:r w:rsidRPr="00B74347">
        <w:t xml:space="preserve">evertheless, the idea of self-funding </w:t>
      </w:r>
      <w:r>
        <w:t xml:space="preserve">was still a good </w:t>
      </w:r>
      <w:r w:rsidR="00FA16B3">
        <w:t xml:space="preserve">idea, and the LLC morphed into a </w:t>
      </w:r>
      <w:r>
        <w:t>Partnership</w:t>
      </w:r>
      <w:r w:rsidR="00FA16B3">
        <w:t xml:space="preserve"> of church members</w:t>
      </w:r>
      <w:r w:rsidRPr="00B74347">
        <w:t xml:space="preserve"> as explained in th</w:t>
      </w:r>
      <w:r>
        <w:t>is</w:t>
      </w:r>
      <w:r w:rsidRPr="00B74347">
        <w:t xml:space="preserve"> </w:t>
      </w:r>
      <w:r>
        <w:t xml:space="preserve">detailed </w:t>
      </w:r>
      <w:r w:rsidR="00FA16B3" w:rsidRPr="00386C62">
        <w:rPr>
          <w:b/>
          <w:color w:val="0070C0"/>
        </w:rPr>
        <w:t>Case Study</w:t>
      </w:r>
      <w:r w:rsidRPr="00B74347">
        <w:t xml:space="preserve">.   It </w:t>
      </w:r>
      <w:r>
        <w:t xml:space="preserve">is </w:t>
      </w:r>
      <w:r w:rsidRPr="00B74347">
        <w:t>fair to say</w:t>
      </w:r>
      <w:r w:rsidR="00FA16B3">
        <w:t xml:space="preserve"> that</w:t>
      </w:r>
      <w:r w:rsidRPr="00B74347">
        <w:t xml:space="preserve"> First Universalist would not have found their </w:t>
      </w:r>
      <w:r w:rsidRPr="00B74347">
        <w:lastRenderedPageBreak/>
        <w:t>path without the new ways of thinking opened up by Christ the Servant Lutheran and St</w:t>
      </w:r>
      <w:r>
        <w:t>.</w:t>
      </w:r>
      <w:r w:rsidRPr="00B74347">
        <w:t xml:space="preserve"> John’s Episcopal.</w:t>
      </w:r>
    </w:p>
    <w:p w:rsidR="00394D52" w:rsidRPr="005C731C" w:rsidRDefault="00FA16B3" w:rsidP="00394D52">
      <w:r>
        <w:t>Essential</w:t>
      </w:r>
      <w:r w:rsidR="00394D52" w:rsidRPr="005C731C">
        <w:t xml:space="preserve"> steps in designing a “Revenue Neutral” funding plan</w:t>
      </w:r>
      <w:r w:rsidR="00394D52">
        <w:t xml:space="preserve"> include:</w:t>
      </w:r>
    </w:p>
    <w:p w:rsidR="00394D52" w:rsidRPr="005C731C" w:rsidRDefault="00394D52" w:rsidP="00394D52">
      <w:pPr>
        <w:widowControl w:val="0"/>
        <w:numPr>
          <w:ilvl w:val="0"/>
          <w:numId w:val="14"/>
        </w:numPr>
        <w:spacing w:before="120" w:after="0" w:line="240" w:lineRule="auto"/>
        <w:jc w:val="both"/>
      </w:pPr>
      <w:r w:rsidRPr="005C731C">
        <w:t>Analyze the cost of operating the existing fossil-fuel</w:t>
      </w:r>
      <w:r>
        <w:t>-</w:t>
      </w:r>
      <w:r w:rsidRPr="005C731C">
        <w:t xml:space="preserve">based energy system. </w:t>
      </w:r>
    </w:p>
    <w:p w:rsidR="00394D52" w:rsidRPr="00E65B83" w:rsidRDefault="00394D52" w:rsidP="00394D52">
      <w:pPr>
        <w:pStyle w:val="NoSpacing"/>
        <w:numPr>
          <w:ilvl w:val="1"/>
          <w:numId w:val="14"/>
        </w:numPr>
      </w:pPr>
      <w:r w:rsidRPr="00E65B83">
        <w:t>Include the monthly bills for the past year</w:t>
      </w:r>
    </w:p>
    <w:p w:rsidR="00394D52" w:rsidRPr="00E65B83" w:rsidRDefault="00394D52" w:rsidP="00394D52">
      <w:pPr>
        <w:pStyle w:val="NoSpacing"/>
        <w:numPr>
          <w:ilvl w:val="1"/>
          <w:numId w:val="14"/>
        </w:numPr>
      </w:pPr>
      <w:r w:rsidRPr="00E65B83">
        <w:t>Include all maintenance and replacement costs for the past year.   For greater accuracy, you can look at the age and service life of the existing equipment (furnaces and A/C units) and determine the forward</w:t>
      </w:r>
      <w:r>
        <w:t>-</w:t>
      </w:r>
      <w:r w:rsidRPr="00E65B83">
        <w:t xml:space="preserve">looking replacement costs and use that instead. </w:t>
      </w:r>
    </w:p>
    <w:p w:rsidR="00394D52" w:rsidRPr="00E65B83" w:rsidRDefault="00394D52" w:rsidP="00394D52">
      <w:pPr>
        <w:pStyle w:val="NoSpacing"/>
        <w:numPr>
          <w:ilvl w:val="1"/>
          <w:numId w:val="14"/>
        </w:numPr>
      </w:pPr>
      <w:r w:rsidRPr="00E65B83">
        <w:t>Include a 3-4% escalation in the hydrocarbon</w:t>
      </w:r>
      <w:r>
        <w:t>-</w:t>
      </w:r>
      <w:r w:rsidRPr="00E65B83">
        <w:t xml:space="preserve">based energy costs.  </w:t>
      </w:r>
    </w:p>
    <w:p w:rsidR="00394D52" w:rsidRDefault="00FA16B3" w:rsidP="00394D52">
      <w:pPr>
        <w:pStyle w:val="NoSpacing"/>
        <w:ind w:left="360"/>
      </w:pPr>
      <w:r>
        <w:t xml:space="preserve">              </w:t>
      </w:r>
      <w:r w:rsidR="00394D52" w:rsidRPr="005C731C">
        <w:t xml:space="preserve">This </w:t>
      </w:r>
      <w:r>
        <w:t xml:space="preserve">cost </w:t>
      </w:r>
      <w:r w:rsidR="00394D52" w:rsidRPr="005C731C">
        <w:t xml:space="preserve">becomes the baseline annual </w:t>
      </w:r>
      <w:r>
        <w:t xml:space="preserve">operating </w:t>
      </w:r>
      <w:r w:rsidR="00394D52">
        <w:t>cost</w:t>
      </w:r>
      <w:r w:rsidR="00394D52" w:rsidRPr="005C731C">
        <w:t xml:space="preserve"> </w:t>
      </w:r>
      <w:r>
        <w:t>of t</w:t>
      </w:r>
      <w:r w:rsidR="00394D52" w:rsidRPr="005C731C">
        <w:t>he existing hydrocarbon</w:t>
      </w:r>
      <w:r w:rsidR="00394D52">
        <w:t xml:space="preserve">-based </w:t>
      </w:r>
      <w:r w:rsidR="00394D52" w:rsidRPr="005C731C">
        <w:t xml:space="preserve">energy system. </w:t>
      </w:r>
    </w:p>
    <w:p w:rsidR="00394D52" w:rsidRDefault="00394D52" w:rsidP="00394D52">
      <w:pPr>
        <w:pStyle w:val="NoSpacing"/>
        <w:numPr>
          <w:ilvl w:val="0"/>
          <w:numId w:val="14"/>
        </w:numPr>
      </w:pPr>
      <w:r w:rsidRPr="005C731C">
        <w:t xml:space="preserve">Estimate the size of the sustainable energy system.    </w:t>
      </w:r>
      <w:r>
        <w:t xml:space="preserve">Knowing the size of the solar system and heat pump system required, it is possible to </w:t>
      </w:r>
      <w:r w:rsidRPr="005C731C">
        <w:t xml:space="preserve">estimate the installation </w:t>
      </w:r>
      <w:r>
        <w:t xml:space="preserve">and operating </w:t>
      </w:r>
      <w:r w:rsidRPr="005C731C">
        <w:t>costs.</w:t>
      </w:r>
    </w:p>
    <w:p w:rsidR="00394D52" w:rsidRDefault="00394D52" w:rsidP="00394D52">
      <w:pPr>
        <w:pStyle w:val="NoSpacing"/>
        <w:numPr>
          <w:ilvl w:val="0"/>
          <w:numId w:val="14"/>
        </w:numPr>
      </w:pPr>
      <w:r w:rsidRPr="005C731C">
        <w:t xml:space="preserve">Assume </w:t>
      </w:r>
      <w:r>
        <w:t xml:space="preserve">it is possible to </w:t>
      </w:r>
      <w:r w:rsidRPr="005C731C">
        <w:t>solicit low interest (</w:t>
      </w:r>
      <w:r>
        <w:t>e.g.</w:t>
      </w:r>
      <w:r w:rsidR="00FA16B3">
        <w:t>,</w:t>
      </w:r>
      <w:r>
        <w:t xml:space="preserve"> </w:t>
      </w:r>
      <w:r w:rsidRPr="005C731C">
        <w:t>1.5% interest) member loans</w:t>
      </w:r>
      <w:r>
        <w:t xml:space="preserve"> from the congregation</w:t>
      </w:r>
      <w:r w:rsidRPr="005C731C">
        <w:t xml:space="preserve">.   </w:t>
      </w:r>
      <w:r>
        <w:t>Envision t</w:t>
      </w:r>
      <w:r w:rsidRPr="005C731C">
        <w:t xml:space="preserve">he </w:t>
      </w:r>
      <w:r>
        <w:t>money</w:t>
      </w:r>
      <w:r w:rsidRPr="00705D23">
        <w:t xml:space="preserve"> </w:t>
      </w:r>
      <w:r>
        <w:t xml:space="preserve">in the church budget earmarked for utility expenses being used </w:t>
      </w:r>
      <w:r w:rsidR="00FA16B3">
        <w:t>differentl</w:t>
      </w:r>
      <w:r>
        <w:t xml:space="preserve">y.   Envision that same amount of money </w:t>
      </w:r>
      <w:r w:rsidR="00FA16B3">
        <w:t xml:space="preserve">is </w:t>
      </w:r>
      <w:r>
        <w:t xml:space="preserve">used instead to finance a new sustainable energy system, specifically to service </w:t>
      </w:r>
      <w:r w:rsidRPr="005C731C">
        <w:t>a loan repayment schedule</w:t>
      </w:r>
      <w:r>
        <w:t>.  D</w:t>
      </w:r>
      <w:r w:rsidRPr="005C731C">
        <w:t xml:space="preserve">etermine the size of </w:t>
      </w:r>
      <w:r>
        <w:t>a</w:t>
      </w:r>
      <w:r w:rsidRPr="005C731C">
        <w:t xml:space="preserve"> 1.5% loan </w:t>
      </w:r>
      <w:r>
        <w:t xml:space="preserve">that can be repaid using the existing “utility” budget.   </w:t>
      </w:r>
      <w:r w:rsidRPr="005C731C">
        <w:t>Assume a 10 to 15</w:t>
      </w:r>
      <w:r>
        <w:t>-</w:t>
      </w:r>
      <w:r w:rsidRPr="005C731C">
        <w:t xml:space="preserve">year term for the member loans. </w:t>
      </w:r>
    </w:p>
    <w:p w:rsidR="00394D52" w:rsidRDefault="00394D52" w:rsidP="00394D52">
      <w:pPr>
        <w:pStyle w:val="NoSpacing"/>
        <w:numPr>
          <w:ilvl w:val="0"/>
          <w:numId w:val="14"/>
        </w:numPr>
      </w:pPr>
      <w:r w:rsidRPr="005C731C">
        <w:t>Subtract the loan value from the total cost of the energy system to define the size of the member donations</w:t>
      </w:r>
      <w:r>
        <w:t xml:space="preserve"> and public grants required </w:t>
      </w:r>
      <w:r w:rsidRPr="005C731C">
        <w:t>to create a Revenue Neutral funding model.</w:t>
      </w:r>
    </w:p>
    <w:p w:rsidR="00394D52" w:rsidRDefault="00DB4769" w:rsidP="00D4107B">
      <w:r>
        <w:rPr>
          <w:noProof/>
        </w:rPr>
        <w:drawing>
          <wp:inline distT="0" distB="0" distL="0" distR="0" wp14:anchorId="654C0AD7" wp14:editId="3148B4FF">
            <wp:extent cx="4923055" cy="4259860"/>
            <wp:effectExtent l="0" t="0" r="0" b="7620"/>
            <wp:docPr id="2912" name="Picture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6" t="11465" r="46120" b="10507"/>
                    <a:stretch/>
                  </pic:blipFill>
                  <pic:spPr bwMode="auto">
                    <a:xfrm>
                      <a:off x="0" y="0"/>
                      <a:ext cx="4925766" cy="4262206"/>
                    </a:xfrm>
                    <a:prstGeom prst="rect">
                      <a:avLst/>
                    </a:prstGeom>
                    <a:ln>
                      <a:noFill/>
                    </a:ln>
                    <a:extLst>
                      <a:ext uri="{53640926-AAD7-44D8-BBD7-CCE9431645EC}">
                        <a14:shadowObscured xmlns:a14="http://schemas.microsoft.com/office/drawing/2010/main"/>
                      </a:ext>
                    </a:extLst>
                  </pic:spPr>
                </pic:pic>
              </a:graphicData>
            </a:graphic>
          </wp:inline>
        </w:drawing>
      </w:r>
    </w:p>
    <w:p w:rsidR="00394D52" w:rsidRDefault="00394D52" w:rsidP="00D4107B">
      <w:pPr>
        <w:pStyle w:val="Caption"/>
        <w:jc w:val="left"/>
      </w:pPr>
      <w:bookmarkStart w:id="0" w:name="_Ref3140097"/>
      <w:bookmarkStart w:id="1" w:name="_Ref3436336"/>
      <w:bookmarkStart w:id="2" w:name="_Toc3807241"/>
      <w:r>
        <w:t xml:space="preserve">Figure </w:t>
      </w:r>
      <w:r>
        <w:rPr>
          <w:noProof/>
        </w:rPr>
        <w:fldChar w:fldCharType="begin"/>
      </w:r>
      <w:r>
        <w:rPr>
          <w:noProof/>
        </w:rPr>
        <w:instrText xml:space="preserve"> SEQ Figure \* ARABIC </w:instrText>
      </w:r>
      <w:r>
        <w:rPr>
          <w:noProof/>
        </w:rPr>
        <w:fldChar w:fldCharType="separate"/>
      </w:r>
      <w:r w:rsidR="00CC2E7F">
        <w:rPr>
          <w:noProof/>
        </w:rPr>
        <w:t>1</w:t>
      </w:r>
      <w:r>
        <w:rPr>
          <w:noProof/>
        </w:rPr>
        <w:fldChar w:fldCharType="end"/>
      </w:r>
      <w:bookmarkEnd w:id="0"/>
      <w:r>
        <w:t xml:space="preserve">  A 20 Year Life Cycle Cost Assessment Used for the First Universalist Sustainable Energy System Project.</w:t>
      </w:r>
      <w:bookmarkEnd w:id="1"/>
      <w:bookmarkEnd w:id="2"/>
    </w:p>
    <w:p w:rsidR="00394D52" w:rsidRDefault="00394D52" w:rsidP="00394D52"/>
    <w:p w:rsidR="00DB4769" w:rsidRPr="009713CA" w:rsidRDefault="00D4107B" w:rsidP="00394D52">
      <w:r w:rsidRPr="005C731C">
        <w:lastRenderedPageBreak/>
        <w:t xml:space="preserve">The spreadsheet model </w:t>
      </w:r>
      <w:r>
        <w:t xml:space="preserve">shown in </w:t>
      </w:r>
      <w:r>
        <w:fldChar w:fldCharType="begin" w:fldLock="1"/>
      </w:r>
      <w:r>
        <w:instrText xml:space="preserve"> REF _Ref3140097 \h  \* MERGEFORMAT </w:instrText>
      </w:r>
      <w:r>
        <w:fldChar w:fldCharType="separate"/>
      </w:r>
      <w:r>
        <w:t xml:space="preserve">Figure </w:t>
      </w:r>
      <w:r>
        <w:rPr>
          <w:noProof/>
        </w:rPr>
        <w:t>1</w:t>
      </w:r>
      <w:r>
        <w:fldChar w:fldCharType="end"/>
      </w:r>
      <w:r>
        <w:t xml:space="preserve"> can be helpful.  It will </w:t>
      </w:r>
      <w:r w:rsidRPr="005C731C">
        <w:t>perform all these calculations when you input the basic costs</w:t>
      </w:r>
      <w:r>
        <w:t>.</w:t>
      </w:r>
    </w:p>
    <w:tbl>
      <w:tblPr>
        <w:tblpPr w:leftFromText="180" w:rightFromText="180" w:vertAnchor="text" w:tblpX="115" w:tblpY="1"/>
        <w:tblOverlap w:val="never"/>
        <w:tblW w:w="4860" w:type="dxa"/>
        <w:tblBorders>
          <w:top w:val="single" w:sz="18" w:space="0" w:color="auto"/>
          <w:left w:val="single" w:sz="18" w:space="0" w:color="auto"/>
          <w:bottom w:val="single" w:sz="18" w:space="0" w:color="auto"/>
          <w:right w:val="single" w:sz="18" w:space="0" w:color="auto"/>
        </w:tblBorders>
        <w:shd w:val="clear" w:color="auto" w:fill="F2F2F2"/>
        <w:tblLayout w:type="fixed"/>
        <w:tblCellMar>
          <w:left w:w="115" w:type="dxa"/>
          <w:right w:w="115" w:type="dxa"/>
        </w:tblCellMar>
        <w:tblLook w:val="04A0" w:firstRow="1" w:lastRow="0" w:firstColumn="1" w:lastColumn="0" w:noHBand="0" w:noVBand="1"/>
      </w:tblPr>
      <w:tblGrid>
        <w:gridCol w:w="4050"/>
        <w:gridCol w:w="810"/>
      </w:tblGrid>
      <w:tr w:rsidR="00DB4769" w:rsidRPr="00FE1295" w:rsidTr="006410EE">
        <w:tc>
          <w:tcPr>
            <w:tcW w:w="4860" w:type="dxa"/>
            <w:gridSpan w:val="2"/>
            <w:shd w:val="clear" w:color="auto" w:fill="F2F2F2"/>
          </w:tcPr>
          <w:p w:rsidR="00DB4769" w:rsidRPr="00BD420F" w:rsidRDefault="00DB4769" w:rsidP="006410EE">
            <w:pPr>
              <w:rPr>
                <w:b/>
                <w:noProof/>
              </w:rPr>
            </w:pPr>
            <w:r w:rsidRPr="00BD420F">
              <w:rPr>
                <w:b/>
                <w:noProof/>
              </w:rPr>
              <w:t>Revenue Neutral Funding Model</w:t>
            </w:r>
          </w:p>
        </w:tc>
      </w:tr>
      <w:tr w:rsidR="00DB4769" w:rsidRPr="00FE1295" w:rsidTr="006410EE">
        <w:trPr>
          <w:trHeight w:val="400"/>
        </w:trPr>
        <w:tc>
          <w:tcPr>
            <w:tcW w:w="4050" w:type="dxa"/>
            <w:shd w:val="clear" w:color="auto" w:fill="F2F2F2"/>
          </w:tcPr>
          <w:p w:rsidR="00DB4769" w:rsidRPr="00FE1295" w:rsidRDefault="00DB4769" w:rsidP="006410EE">
            <w:pPr>
              <w:rPr>
                <w:sz w:val="18"/>
              </w:rPr>
            </w:pPr>
            <w:hyperlink r:id="rId10" w:history="1">
              <w:r w:rsidRPr="009F76B2">
                <w:rPr>
                  <w:rStyle w:val="Hyperlink"/>
                  <w:sz w:val="18"/>
                </w:rPr>
                <w:t>http://coloradointerfaithgreenbuilding.org/Solar-GeoFundingModelA.pdf</w:t>
              </w:r>
            </w:hyperlink>
            <w:r>
              <w:rPr>
                <w:rStyle w:val="Hyperlink"/>
                <w:sz w:val="18"/>
              </w:rPr>
              <w:t xml:space="preserve"> </w:t>
            </w:r>
            <w:r w:rsidRPr="00FE1295">
              <w:rPr>
                <w:sz w:val="18"/>
              </w:rPr>
              <w:t xml:space="preserve"> </w:t>
            </w:r>
          </w:p>
        </w:tc>
        <w:tc>
          <w:tcPr>
            <w:tcW w:w="810" w:type="dxa"/>
            <w:shd w:val="clear" w:color="auto" w:fill="F2F2F2"/>
          </w:tcPr>
          <w:p w:rsidR="00DB4769" w:rsidRPr="00BD420F" w:rsidRDefault="00DB4769" w:rsidP="006410EE">
            <w:r w:rsidRPr="001D0D20">
              <w:rPr>
                <w:noProof/>
              </w:rPr>
              <w:drawing>
                <wp:inline distT="0" distB="0" distL="0" distR="0" wp14:anchorId="5DCF6649" wp14:editId="7893DE93">
                  <wp:extent cx="220980" cy="220980"/>
                  <wp:effectExtent l="0" t="0" r="0" b="0"/>
                  <wp:docPr id="1430" name="Picture 547" descr="C:\Users\mahet\AppData\Local\Microsoft\Windows\INetCache\Content.MSO\DD662B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Users\mahet\AppData\Local\Microsoft\Windows\INetCache\Content.MSO\DD662B3F.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r>
      <w:tr w:rsidR="00DB4769" w:rsidRPr="00FE1295" w:rsidTr="006410EE">
        <w:trPr>
          <w:trHeight w:val="400"/>
        </w:trPr>
        <w:tc>
          <w:tcPr>
            <w:tcW w:w="4050" w:type="dxa"/>
            <w:shd w:val="clear" w:color="auto" w:fill="F2F2F2"/>
          </w:tcPr>
          <w:p w:rsidR="00DB4769" w:rsidRPr="00FE1295" w:rsidRDefault="00DB4769" w:rsidP="006410EE">
            <w:pPr>
              <w:rPr>
                <w:sz w:val="18"/>
              </w:rPr>
            </w:pPr>
            <w:hyperlink r:id="rId12" w:history="1">
              <w:r w:rsidRPr="008A470C">
                <w:rPr>
                  <w:rStyle w:val="Hyperlink"/>
                  <w:sz w:val="18"/>
                </w:rPr>
                <w:t>http://coloradointerfaithgreenbuilding.org/Solar-GeoFundingModelA.xlsx</w:t>
              </w:r>
            </w:hyperlink>
            <w:r w:rsidRPr="00FE1295">
              <w:rPr>
                <w:sz w:val="18"/>
              </w:rPr>
              <w:t xml:space="preserve">  </w:t>
            </w:r>
          </w:p>
        </w:tc>
        <w:tc>
          <w:tcPr>
            <w:tcW w:w="810" w:type="dxa"/>
            <w:shd w:val="clear" w:color="auto" w:fill="F2F2F2"/>
          </w:tcPr>
          <w:p w:rsidR="00DB4769" w:rsidRPr="00FE1295" w:rsidRDefault="00DB4769" w:rsidP="006410EE">
            <w:r w:rsidRPr="001D0D20">
              <w:rPr>
                <w:noProof/>
              </w:rPr>
              <w:drawing>
                <wp:inline distT="0" distB="0" distL="0" distR="0" wp14:anchorId="5BCEA85C" wp14:editId="221DAE1C">
                  <wp:extent cx="205740" cy="205740"/>
                  <wp:effectExtent l="0" t="0" r="0" b="0"/>
                  <wp:docPr id="1431" name="Picture 548" descr="5D1E3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5D1E36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r>
    </w:tbl>
    <w:p w:rsidR="00CD3F7F" w:rsidRDefault="002461DD" w:rsidP="00CD3F7F">
      <w:pPr>
        <w:pStyle w:val="ListParagraph"/>
        <w:ind w:left="0"/>
      </w:pPr>
      <w:r>
        <w:t>This</w:t>
      </w:r>
      <w:r w:rsidR="00FA16B3">
        <w:t xml:space="preserve"> funding approach</w:t>
      </w:r>
      <w:r>
        <w:t xml:space="preserve"> is offered as an example:  it may not work in your </w:t>
      </w:r>
      <w:r w:rsidR="000B773F">
        <w:t>situation</w:t>
      </w:r>
      <w:r w:rsidR="00FA16B3">
        <w:t>.    I</w:t>
      </w:r>
      <w:r>
        <w:t xml:space="preserve">t does serve as a baseline that has a good probability of being approved because “it doesn’t cost the church anything” to make the </w:t>
      </w:r>
      <w:r w:rsidR="000B773F">
        <w:t>transition</w:t>
      </w:r>
      <w:r>
        <w:t xml:space="preserve"> to renewable energy.    There is no change in the church budget – there is no additional </w:t>
      </w:r>
      <w:r w:rsidR="00D750A5">
        <w:t>mortgage</w:t>
      </w:r>
      <w:r>
        <w:t xml:space="preserve"> – the lenders do want a promissory note that in effect says, the</w:t>
      </w:r>
      <w:r w:rsidR="00D750A5">
        <w:t xml:space="preserve"> church will continue to </w:t>
      </w:r>
      <w:r>
        <w:t>pay the</w:t>
      </w:r>
      <w:r w:rsidR="000B773F">
        <w:t xml:space="preserve"> utility bills</w:t>
      </w:r>
      <w:r w:rsidR="00D750A5">
        <w:t xml:space="preserve"> – at least until the loans are paid off.</w:t>
      </w:r>
    </w:p>
    <w:p w:rsidR="00DB4769" w:rsidRDefault="00DB4769" w:rsidP="00CD3F7F">
      <w:pPr>
        <w:pStyle w:val="ListParagraph"/>
        <w:ind w:left="0"/>
      </w:pPr>
    </w:p>
    <w:p w:rsidR="002461DD" w:rsidRDefault="00DB4769" w:rsidP="00CD3F7F">
      <w:pPr>
        <w:pStyle w:val="ListParagraph"/>
        <w:ind w:left="0"/>
      </w:pPr>
      <w:r>
        <w:rPr>
          <w:noProof/>
        </w:rPr>
        <w:drawing>
          <wp:inline distT="0" distB="0" distL="0" distR="0" wp14:anchorId="4969FFA9" wp14:editId="0281E19F">
            <wp:extent cx="6416298" cy="5552329"/>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6" t="11465" r="46120" b="10507"/>
                    <a:stretch/>
                  </pic:blipFill>
                  <pic:spPr bwMode="auto">
                    <a:xfrm>
                      <a:off x="0" y="0"/>
                      <a:ext cx="6439322" cy="5572253"/>
                    </a:xfrm>
                    <a:prstGeom prst="rect">
                      <a:avLst/>
                    </a:prstGeom>
                    <a:ln>
                      <a:noFill/>
                    </a:ln>
                    <a:extLst>
                      <a:ext uri="{53640926-AAD7-44D8-BBD7-CCE9431645EC}">
                        <a14:shadowObscured xmlns:a14="http://schemas.microsoft.com/office/drawing/2010/main"/>
                      </a:ext>
                    </a:extLst>
                  </pic:spPr>
                </pic:pic>
              </a:graphicData>
            </a:graphic>
          </wp:inline>
        </w:drawing>
      </w:r>
    </w:p>
    <w:p w:rsidR="00DB4769" w:rsidRDefault="00DB4769" w:rsidP="00DB4769">
      <w:pPr>
        <w:pStyle w:val="Caption"/>
        <w:rPr>
          <w:noProof/>
        </w:rPr>
      </w:pPr>
      <w:bookmarkStart w:id="3" w:name="_Toc3807242"/>
      <w:r>
        <w:t xml:space="preserve">Figure </w:t>
      </w:r>
      <w:r>
        <w:rPr>
          <w:noProof/>
        </w:rPr>
        <w:fldChar w:fldCharType="begin"/>
      </w:r>
      <w:r>
        <w:rPr>
          <w:noProof/>
        </w:rPr>
        <w:instrText xml:space="preserve"> SEQ Figure \* ARABIC </w:instrText>
      </w:r>
      <w:r>
        <w:rPr>
          <w:noProof/>
        </w:rPr>
        <w:fldChar w:fldCharType="separate"/>
      </w:r>
      <w:r w:rsidR="00CC2E7F">
        <w:rPr>
          <w:noProof/>
        </w:rPr>
        <w:t>2</w:t>
      </w:r>
      <w:r>
        <w:rPr>
          <w:noProof/>
        </w:rPr>
        <w:fldChar w:fldCharType="end"/>
      </w:r>
      <w:r>
        <w:t xml:space="preserve">  Comparison of Annual Expenses for operating a Fossil Fuel Energy System </w:t>
      </w:r>
      <w:r w:rsidRPr="00AF5489">
        <w:rPr>
          <w:color w:val="FF0000"/>
        </w:rPr>
        <w:t>(RED)</w:t>
      </w:r>
      <w:r>
        <w:t xml:space="preserve"> vs. a Renewable Energy System </w:t>
      </w:r>
      <w:r w:rsidRPr="00AF5489">
        <w:rPr>
          <w:color w:val="00B050"/>
        </w:rPr>
        <w:t>(GREEN)</w:t>
      </w:r>
      <w:r>
        <w:t xml:space="preserve"> using a 20-year Perspective.</w:t>
      </w:r>
      <w:bookmarkEnd w:id="3"/>
    </w:p>
    <w:p w:rsidR="00DB4769" w:rsidRDefault="00DB4769" w:rsidP="00DB4769">
      <w:pPr>
        <w:pStyle w:val="ListParagraph"/>
        <w:ind w:left="-180"/>
      </w:pPr>
    </w:p>
    <w:p w:rsidR="00FA16B3" w:rsidRDefault="00D750A5" w:rsidP="00FA16B3">
      <w:pPr>
        <w:pStyle w:val="Heading2"/>
        <w:rPr>
          <w:shd w:val="clear" w:color="auto" w:fill="FFFFFF"/>
        </w:rPr>
      </w:pPr>
      <w:r>
        <w:rPr>
          <w:shd w:val="clear" w:color="auto" w:fill="FFFFFF"/>
        </w:rPr>
        <w:lastRenderedPageBreak/>
        <w:t xml:space="preserve">Using the Model </w:t>
      </w:r>
    </w:p>
    <w:p w:rsidR="000B773F" w:rsidRPr="002F5BF0" w:rsidRDefault="00FA16B3" w:rsidP="00FA16B3">
      <w:pPr>
        <w:pStyle w:val="Heading3"/>
        <w:rPr>
          <w:shd w:val="clear" w:color="auto" w:fill="FFFFFF"/>
        </w:rPr>
      </w:pPr>
      <w:r>
        <w:rPr>
          <w:shd w:val="clear" w:color="auto" w:fill="FFFFFF"/>
        </w:rPr>
        <w:t>Input Current Utility Expenses (</w:t>
      </w:r>
      <w:r w:rsidR="000B773F" w:rsidRPr="002F5BF0">
        <w:rPr>
          <w:shd w:val="clear" w:color="auto" w:fill="FFFFFF"/>
        </w:rPr>
        <w:t>in</w:t>
      </w:r>
      <w:r>
        <w:rPr>
          <w:shd w:val="clear" w:color="auto" w:fill="FFFFFF"/>
        </w:rPr>
        <w:t xml:space="preserve">to the </w:t>
      </w:r>
      <w:r w:rsidR="000B773F" w:rsidRPr="002F5BF0">
        <w:rPr>
          <w:shd w:val="clear" w:color="auto" w:fill="FFFFFF"/>
        </w:rPr>
        <w:t xml:space="preserve"> </w:t>
      </w:r>
      <w:r>
        <w:rPr>
          <w:shd w:val="clear" w:color="auto" w:fill="FFFFFF"/>
        </w:rPr>
        <w:t xml:space="preserve">light </w:t>
      </w:r>
      <w:r w:rsidR="000B773F" w:rsidRPr="002F5BF0">
        <w:rPr>
          <w:shd w:val="clear" w:color="auto" w:fill="FFFFFF"/>
        </w:rPr>
        <w:t>blue</w:t>
      </w:r>
      <w:r>
        <w:rPr>
          <w:shd w:val="clear" w:color="auto" w:fill="FFFFFF"/>
        </w:rPr>
        <w:t xml:space="preserve"> cells)</w:t>
      </w:r>
    </w:p>
    <w:p w:rsidR="00431987" w:rsidRPr="002F5BF0" w:rsidRDefault="00FA4EF1" w:rsidP="000B773F">
      <w:pPr>
        <w:pStyle w:val="ecxmsonormal"/>
        <w:rPr>
          <w:rFonts w:ascii="Calibri" w:hAnsi="Calibri" w:cs="Calibri"/>
          <w:shd w:val="clear" w:color="auto" w:fill="FFFFFF"/>
        </w:rPr>
      </w:pPr>
      <w:r w:rsidRPr="002F5BF0">
        <w:rPr>
          <w:rFonts w:ascii="Calibri" w:hAnsi="Calibri" w:cs="Calibri"/>
          <w:shd w:val="clear" w:color="auto" w:fill="FFFFFF"/>
        </w:rPr>
        <w:t xml:space="preserve">Cell </w:t>
      </w:r>
      <w:r w:rsidR="000B773F" w:rsidRPr="002F5BF0">
        <w:rPr>
          <w:rFonts w:ascii="Calibri" w:hAnsi="Calibri" w:cs="Calibri"/>
          <w:shd w:val="clear" w:color="auto" w:fill="FFFFFF"/>
        </w:rPr>
        <w:t>D4</w:t>
      </w:r>
      <w:r w:rsidRPr="002F5BF0">
        <w:rPr>
          <w:rFonts w:ascii="Calibri" w:hAnsi="Calibri" w:cs="Calibri"/>
          <w:shd w:val="clear" w:color="auto" w:fill="FFFFFF"/>
        </w:rPr>
        <w:t>:  insert the Current Annu</w:t>
      </w:r>
      <w:r w:rsidR="00431987" w:rsidRPr="002F5BF0">
        <w:rPr>
          <w:rFonts w:ascii="Calibri" w:hAnsi="Calibri" w:cs="Calibri"/>
          <w:shd w:val="clear" w:color="auto" w:fill="FFFFFF"/>
        </w:rPr>
        <w:t>a</w:t>
      </w:r>
      <w:r w:rsidRPr="002F5BF0">
        <w:rPr>
          <w:rFonts w:ascii="Calibri" w:hAnsi="Calibri" w:cs="Calibri"/>
          <w:shd w:val="clear" w:color="auto" w:fill="FFFFFF"/>
        </w:rPr>
        <w:t xml:space="preserve">l Electric Bill (Line </w:t>
      </w:r>
      <w:r w:rsidR="00431987" w:rsidRPr="002F5BF0">
        <w:rPr>
          <w:rFonts w:ascii="Calibri" w:hAnsi="Calibri" w:cs="Calibri"/>
          <w:shd w:val="clear" w:color="auto" w:fill="FFFFFF"/>
        </w:rPr>
        <w:t>3.1 of the Section 3 worksheet)</w:t>
      </w:r>
      <w:r w:rsidRPr="002F5BF0">
        <w:rPr>
          <w:rFonts w:ascii="Calibri" w:hAnsi="Calibri" w:cs="Calibri"/>
          <w:shd w:val="clear" w:color="auto" w:fill="FFFFFF"/>
        </w:rPr>
        <w:t xml:space="preserve"> </w:t>
      </w:r>
      <w:r w:rsidR="00431987" w:rsidRPr="002F5BF0">
        <w:rPr>
          <w:rFonts w:ascii="Calibri" w:hAnsi="Calibri" w:cs="Calibri"/>
          <w:shd w:val="clear" w:color="auto" w:fill="FFFFFF"/>
        </w:rPr>
        <w:t xml:space="preserve">– </w:t>
      </w:r>
      <w:r w:rsidR="00431987" w:rsidRPr="00FA16B3">
        <w:rPr>
          <w:rFonts w:ascii="Calibri" w:hAnsi="Calibri" w:cs="Calibri"/>
          <w:i/>
          <w:shd w:val="clear" w:color="auto" w:fill="FFFFFF"/>
        </w:rPr>
        <w:t xml:space="preserve">in this example $12,795 / year.   </w:t>
      </w:r>
      <w:r w:rsidR="000B773F" w:rsidRPr="00FA16B3">
        <w:rPr>
          <w:rFonts w:ascii="Calibri" w:hAnsi="Calibri" w:cs="Calibri"/>
          <w:i/>
          <w:shd w:val="clear" w:color="auto" w:fill="FFFFFF"/>
        </w:rPr>
        <w:br/>
      </w:r>
      <w:r w:rsidR="00431987" w:rsidRPr="002F5BF0">
        <w:rPr>
          <w:rFonts w:ascii="Calibri" w:hAnsi="Calibri" w:cs="Calibri"/>
          <w:shd w:val="clear" w:color="auto" w:fill="FFFFFF"/>
        </w:rPr>
        <w:t xml:space="preserve">Cell </w:t>
      </w:r>
      <w:r w:rsidR="000B773F" w:rsidRPr="002F5BF0">
        <w:rPr>
          <w:rFonts w:ascii="Calibri" w:hAnsi="Calibri" w:cs="Calibri"/>
          <w:shd w:val="clear" w:color="auto" w:fill="FFFFFF"/>
        </w:rPr>
        <w:t>D5</w:t>
      </w:r>
      <w:r w:rsidR="00431987" w:rsidRPr="002F5BF0">
        <w:rPr>
          <w:rFonts w:ascii="Calibri" w:hAnsi="Calibri" w:cs="Calibri"/>
          <w:shd w:val="clear" w:color="auto" w:fill="FFFFFF"/>
        </w:rPr>
        <w:t xml:space="preserve">:  insert the Current Annual Gas Bill (Line 4.1 of the Section 4 worksheet) – </w:t>
      </w:r>
      <w:r w:rsidR="00431987" w:rsidRPr="00FA16B3">
        <w:rPr>
          <w:rFonts w:ascii="Calibri" w:hAnsi="Calibri" w:cs="Calibri"/>
          <w:i/>
          <w:shd w:val="clear" w:color="auto" w:fill="FFFFFF"/>
        </w:rPr>
        <w:t xml:space="preserve">in this example $3830 / year.   </w:t>
      </w:r>
      <w:r w:rsidR="000B773F" w:rsidRPr="00FA16B3">
        <w:rPr>
          <w:rFonts w:ascii="Calibri" w:hAnsi="Calibri" w:cs="Calibri"/>
          <w:i/>
          <w:shd w:val="clear" w:color="auto" w:fill="FFFFFF"/>
        </w:rPr>
        <w:br/>
      </w:r>
      <w:r w:rsidR="00431987" w:rsidRPr="002F5BF0">
        <w:rPr>
          <w:rFonts w:ascii="Calibri" w:hAnsi="Calibri" w:cs="Calibri"/>
          <w:shd w:val="clear" w:color="auto" w:fill="FFFFFF"/>
        </w:rPr>
        <w:t xml:space="preserve">Cell </w:t>
      </w:r>
      <w:r w:rsidR="000B773F" w:rsidRPr="002F5BF0">
        <w:rPr>
          <w:rFonts w:ascii="Calibri" w:hAnsi="Calibri" w:cs="Calibri"/>
          <w:shd w:val="clear" w:color="auto" w:fill="FFFFFF"/>
        </w:rPr>
        <w:t>D6</w:t>
      </w:r>
      <w:r w:rsidR="00431987" w:rsidRPr="002F5BF0">
        <w:rPr>
          <w:rFonts w:ascii="Calibri" w:hAnsi="Calibri" w:cs="Calibri"/>
          <w:shd w:val="clear" w:color="auto" w:fill="FFFFFF"/>
        </w:rPr>
        <w:t>:  If there is any plan to include energy conservation measures, estimate the expect</w:t>
      </w:r>
      <w:r w:rsidR="00FA16B3">
        <w:rPr>
          <w:rFonts w:ascii="Calibri" w:hAnsi="Calibri" w:cs="Calibri"/>
          <w:shd w:val="clear" w:color="auto" w:fill="FFFFFF"/>
        </w:rPr>
        <w:t>ed</w:t>
      </w:r>
      <w:r w:rsidR="00431987" w:rsidRPr="002F5BF0">
        <w:rPr>
          <w:rFonts w:ascii="Calibri" w:hAnsi="Calibri" w:cs="Calibri"/>
          <w:shd w:val="clear" w:color="auto" w:fill="FFFFFF"/>
        </w:rPr>
        <w:t xml:space="preserve"> reduction in the percent of the total utility bill –</w:t>
      </w:r>
      <w:r w:rsidR="00431987" w:rsidRPr="00FA16B3">
        <w:rPr>
          <w:rFonts w:ascii="Calibri" w:hAnsi="Calibri" w:cs="Calibri"/>
          <w:i/>
          <w:shd w:val="clear" w:color="auto" w:fill="FFFFFF"/>
        </w:rPr>
        <w:t xml:space="preserve"> in this example 5% or $830 / year.</w:t>
      </w:r>
      <w:r w:rsidR="00431987" w:rsidRPr="002F5BF0">
        <w:rPr>
          <w:rFonts w:ascii="Calibri" w:hAnsi="Calibri" w:cs="Calibri"/>
          <w:shd w:val="clear" w:color="auto" w:fill="FFFFFF"/>
        </w:rPr>
        <w:t xml:space="preserve">   </w:t>
      </w:r>
      <w:r w:rsidR="000B773F" w:rsidRPr="002F5BF0">
        <w:rPr>
          <w:rFonts w:ascii="Calibri" w:hAnsi="Calibri" w:cs="Calibri"/>
          <w:shd w:val="clear" w:color="auto" w:fill="FFFFFF"/>
        </w:rPr>
        <w:br/>
      </w:r>
      <w:r w:rsidR="00431987" w:rsidRPr="002F5BF0">
        <w:rPr>
          <w:rFonts w:ascii="Calibri" w:hAnsi="Calibri" w:cs="Calibri"/>
          <w:shd w:val="clear" w:color="auto" w:fill="FFFFFF"/>
        </w:rPr>
        <w:t xml:space="preserve">Cell </w:t>
      </w:r>
      <w:r w:rsidR="000B773F" w:rsidRPr="002F5BF0">
        <w:rPr>
          <w:rFonts w:ascii="Calibri" w:hAnsi="Calibri" w:cs="Calibri"/>
          <w:shd w:val="clear" w:color="auto" w:fill="FFFFFF"/>
        </w:rPr>
        <w:t>D7</w:t>
      </w:r>
      <w:r w:rsidR="00431987" w:rsidRPr="002F5BF0">
        <w:rPr>
          <w:rFonts w:ascii="Calibri" w:hAnsi="Calibri" w:cs="Calibri"/>
          <w:shd w:val="clear" w:color="auto" w:fill="FFFFFF"/>
        </w:rPr>
        <w:t xml:space="preserve">:  Estimate the average annual cost for </w:t>
      </w:r>
      <w:r w:rsidR="00FA16B3">
        <w:rPr>
          <w:rFonts w:ascii="Calibri" w:hAnsi="Calibri" w:cs="Calibri"/>
          <w:shd w:val="clear" w:color="auto" w:fill="FFFFFF"/>
        </w:rPr>
        <w:t xml:space="preserve">the </w:t>
      </w:r>
      <w:r w:rsidR="00431987" w:rsidRPr="002F5BF0">
        <w:rPr>
          <w:rFonts w:ascii="Calibri" w:hAnsi="Calibri" w:cs="Calibri"/>
          <w:shd w:val="clear" w:color="auto" w:fill="FFFFFF"/>
        </w:rPr>
        <w:t xml:space="preserve">replacement of existing equipment.   Hint: </w:t>
      </w:r>
      <w:r w:rsidR="00FF5A35" w:rsidRPr="002F5BF0">
        <w:rPr>
          <w:rFonts w:ascii="Calibri" w:hAnsi="Calibri" w:cs="Calibri"/>
          <w:shd w:val="clear" w:color="auto" w:fill="FFFFFF"/>
        </w:rPr>
        <w:t>For a 20</w:t>
      </w:r>
      <w:r w:rsidR="00FF5A35">
        <w:rPr>
          <w:rFonts w:ascii="Calibri" w:hAnsi="Calibri" w:cs="Calibri"/>
          <w:shd w:val="clear" w:color="auto" w:fill="FFFFFF"/>
        </w:rPr>
        <w:t>-</w:t>
      </w:r>
      <w:r w:rsidR="00FF5A35" w:rsidRPr="002F5BF0">
        <w:rPr>
          <w:rFonts w:ascii="Calibri" w:hAnsi="Calibri" w:cs="Calibri"/>
          <w:shd w:val="clear" w:color="auto" w:fill="FFFFFF"/>
        </w:rPr>
        <w:t>year</w:t>
      </w:r>
      <w:r w:rsidR="00431987" w:rsidRPr="002F5BF0">
        <w:rPr>
          <w:rFonts w:ascii="Calibri" w:hAnsi="Calibri" w:cs="Calibri"/>
          <w:shd w:val="clear" w:color="auto" w:fill="FFFFFF"/>
        </w:rPr>
        <w:t xml:space="preserve"> assessment</w:t>
      </w:r>
      <w:r w:rsidR="00FA16B3">
        <w:rPr>
          <w:rFonts w:ascii="Calibri" w:hAnsi="Calibri" w:cs="Calibri"/>
          <w:shd w:val="clear" w:color="auto" w:fill="FFFFFF"/>
        </w:rPr>
        <w:t xml:space="preserve">, </w:t>
      </w:r>
      <w:r w:rsidR="00431987" w:rsidRPr="002F5BF0">
        <w:rPr>
          <w:rFonts w:ascii="Calibri" w:hAnsi="Calibri" w:cs="Calibri"/>
          <w:shd w:val="clear" w:color="auto" w:fill="FFFFFF"/>
        </w:rPr>
        <w:t xml:space="preserve"> you can assume the entire set of existing equipment will have to be replaced. </w:t>
      </w:r>
      <w:r w:rsidR="00431987" w:rsidRPr="002F5BF0">
        <w:rPr>
          <w:rFonts w:ascii="Calibri" w:hAnsi="Calibri" w:cs="Calibri"/>
          <w:shd w:val="clear" w:color="auto" w:fill="FFFFFF"/>
        </w:rPr>
        <w:br/>
      </w:r>
    </w:p>
    <w:p w:rsidR="00431987" w:rsidRPr="002F5BF0" w:rsidRDefault="00FA16B3" w:rsidP="00FA16B3">
      <w:pPr>
        <w:pStyle w:val="Heading3"/>
        <w:rPr>
          <w:shd w:val="clear" w:color="auto" w:fill="FFFFFF"/>
        </w:rPr>
      </w:pPr>
      <w:r w:rsidRPr="002F5BF0">
        <w:rPr>
          <w:shd w:val="clear" w:color="auto" w:fill="FFFFFF"/>
        </w:rPr>
        <w:t xml:space="preserve">Input </w:t>
      </w:r>
      <w:r>
        <w:rPr>
          <w:shd w:val="clear" w:color="auto" w:fill="FFFFFF"/>
        </w:rPr>
        <w:t>t</w:t>
      </w:r>
      <w:r w:rsidRPr="002F5BF0">
        <w:rPr>
          <w:shd w:val="clear" w:color="auto" w:fill="FFFFFF"/>
        </w:rPr>
        <w:t xml:space="preserve">he Estimated Costs </w:t>
      </w:r>
      <w:r>
        <w:rPr>
          <w:shd w:val="clear" w:color="auto" w:fill="FFFFFF"/>
        </w:rPr>
        <w:t>of t</w:t>
      </w:r>
      <w:r w:rsidRPr="002F5BF0">
        <w:rPr>
          <w:shd w:val="clear" w:color="auto" w:fill="FFFFFF"/>
        </w:rPr>
        <w:t>he New Equipment</w:t>
      </w:r>
    </w:p>
    <w:p w:rsidR="000B773F" w:rsidRPr="002F5BF0" w:rsidRDefault="00431987" w:rsidP="00FA16B3">
      <w:pPr>
        <w:pStyle w:val="ecxmsonormal"/>
        <w:rPr>
          <w:rFonts w:ascii="Calibri" w:hAnsi="Calibri" w:cs="Calibri"/>
          <w:shd w:val="clear" w:color="auto" w:fill="FFFFFF"/>
        </w:rPr>
      </w:pPr>
      <w:r w:rsidRPr="002F5BF0">
        <w:rPr>
          <w:rFonts w:ascii="Calibri" w:hAnsi="Calibri" w:cs="Calibri"/>
          <w:shd w:val="clear" w:color="auto" w:fill="FFFFFF"/>
        </w:rPr>
        <w:t xml:space="preserve">Cell </w:t>
      </w:r>
      <w:r w:rsidR="000B773F" w:rsidRPr="002F5BF0">
        <w:rPr>
          <w:rFonts w:ascii="Calibri" w:hAnsi="Calibri" w:cs="Calibri"/>
          <w:shd w:val="clear" w:color="auto" w:fill="FFFFFF"/>
        </w:rPr>
        <w:t>I4</w:t>
      </w:r>
      <w:r w:rsidR="00FA16B3">
        <w:rPr>
          <w:rFonts w:ascii="Calibri" w:hAnsi="Calibri" w:cs="Calibri"/>
          <w:shd w:val="clear" w:color="auto" w:fill="FFFFFF"/>
        </w:rPr>
        <w:t xml:space="preserve">: </w:t>
      </w:r>
      <w:r w:rsidRPr="002F5BF0">
        <w:rPr>
          <w:rFonts w:ascii="Calibri" w:hAnsi="Calibri" w:cs="Calibri"/>
          <w:shd w:val="clear" w:color="auto" w:fill="FFFFFF"/>
        </w:rPr>
        <w:t>insert cost of the solar PV system</w:t>
      </w:r>
      <w:r w:rsidR="00FA16B3">
        <w:rPr>
          <w:rFonts w:ascii="Calibri" w:hAnsi="Calibri" w:cs="Calibri"/>
          <w:shd w:val="clear" w:color="auto" w:fill="FFFFFF"/>
        </w:rPr>
        <w:t xml:space="preserve"> -</w:t>
      </w:r>
      <w:r w:rsidR="00FA16B3" w:rsidRPr="002F5BF0">
        <w:rPr>
          <w:rFonts w:ascii="Calibri" w:hAnsi="Calibri" w:cs="Calibri"/>
          <w:shd w:val="clear" w:color="auto" w:fill="FFFFFF"/>
        </w:rPr>
        <w:t xml:space="preserve"> </w:t>
      </w:r>
      <w:r w:rsidR="00FA16B3" w:rsidRPr="00FA16B3">
        <w:rPr>
          <w:rFonts w:ascii="Calibri" w:hAnsi="Calibri" w:cs="Calibri"/>
          <w:i/>
          <w:shd w:val="clear" w:color="auto" w:fill="FFFFFF"/>
        </w:rPr>
        <w:t>in this example $1</w:t>
      </w:r>
      <w:r w:rsidR="00FA16B3">
        <w:rPr>
          <w:rFonts w:ascii="Calibri" w:hAnsi="Calibri" w:cs="Calibri"/>
          <w:i/>
          <w:shd w:val="clear" w:color="auto" w:fill="FFFFFF"/>
        </w:rPr>
        <w:t>37</w:t>
      </w:r>
      <w:r w:rsidR="00FA16B3" w:rsidRPr="00FA16B3">
        <w:rPr>
          <w:rFonts w:ascii="Calibri" w:hAnsi="Calibri" w:cs="Calibri"/>
          <w:i/>
          <w:shd w:val="clear" w:color="auto" w:fill="FFFFFF"/>
        </w:rPr>
        <w:t>,</w:t>
      </w:r>
      <w:r w:rsidR="00FA16B3">
        <w:rPr>
          <w:rFonts w:ascii="Calibri" w:hAnsi="Calibri" w:cs="Calibri"/>
          <w:i/>
          <w:shd w:val="clear" w:color="auto" w:fill="FFFFFF"/>
        </w:rPr>
        <w:t>500</w:t>
      </w:r>
      <w:r w:rsidR="00FA16B3" w:rsidRPr="00FA16B3">
        <w:rPr>
          <w:rFonts w:ascii="Calibri" w:hAnsi="Calibri" w:cs="Calibri"/>
          <w:i/>
          <w:shd w:val="clear" w:color="auto" w:fill="FFFFFF"/>
        </w:rPr>
        <w:t xml:space="preserve">.   </w:t>
      </w:r>
      <w:r w:rsidR="00FA16B3">
        <w:rPr>
          <w:rFonts w:ascii="Calibri" w:hAnsi="Calibri" w:cs="Calibri"/>
          <w:shd w:val="clear" w:color="auto" w:fill="FFFFFF"/>
        </w:rPr>
        <w:br/>
      </w:r>
      <w:r w:rsidRPr="002F5BF0">
        <w:rPr>
          <w:rFonts w:ascii="Calibri" w:hAnsi="Calibri" w:cs="Calibri"/>
          <w:shd w:val="clear" w:color="auto" w:fill="FFFFFF"/>
        </w:rPr>
        <w:t xml:space="preserve">Cell </w:t>
      </w:r>
      <w:r w:rsidR="000B773F" w:rsidRPr="002F5BF0">
        <w:rPr>
          <w:rFonts w:ascii="Calibri" w:hAnsi="Calibri" w:cs="Calibri"/>
          <w:shd w:val="clear" w:color="auto" w:fill="FFFFFF"/>
        </w:rPr>
        <w:t>I5</w:t>
      </w:r>
      <w:r w:rsidRPr="002F5BF0">
        <w:rPr>
          <w:rFonts w:ascii="Calibri" w:hAnsi="Calibri" w:cs="Calibri"/>
          <w:shd w:val="clear" w:color="auto" w:fill="FFFFFF"/>
        </w:rPr>
        <w:t>: in</w:t>
      </w:r>
      <w:r w:rsidR="00FA16B3">
        <w:rPr>
          <w:rFonts w:ascii="Calibri" w:hAnsi="Calibri" w:cs="Calibri"/>
          <w:shd w:val="clear" w:color="auto" w:fill="FFFFFF"/>
        </w:rPr>
        <w:t>put</w:t>
      </w:r>
      <w:r w:rsidRPr="002F5BF0">
        <w:rPr>
          <w:rFonts w:ascii="Calibri" w:hAnsi="Calibri" w:cs="Calibri"/>
          <w:shd w:val="clear" w:color="auto" w:fill="FFFFFF"/>
        </w:rPr>
        <w:t xml:space="preserve"> the cost of the Geothermal system</w:t>
      </w:r>
      <w:r w:rsidR="00FA16B3">
        <w:rPr>
          <w:rFonts w:ascii="Calibri" w:hAnsi="Calibri" w:cs="Calibri"/>
          <w:shd w:val="clear" w:color="auto" w:fill="FFFFFF"/>
        </w:rPr>
        <w:t xml:space="preserve"> -</w:t>
      </w:r>
      <w:r w:rsidR="00FA16B3" w:rsidRPr="002F5BF0">
        <w:rPr>
          <w:rFonts w:ascii="Calibri" w:hAnsi="Calibri" w:cs="Calibri"/>
          <w:shd w:val="clear" w:color="auto" w:fill="FFFFFF"/>
        </w:rPr>
        <w:t xml:space="preserve"> </w:t>
      </w:r>
      <w:r w:rsidR="00FA16B3" w:rsidRPr="00FA16B3">
        <w:rPr>
          <w:rFonts w:ascii="Calibri" w:hAnsi="Calibri" w:cs="Calibri"/>
          <w:i/>
          <w:shd w:val="clear" w:color="auto" w:fill="FFFFFF"/>
        </w:rPr>
        <w:t>in this example $</w:t>
      </w:r>
      <w:r w:rsidR="00FA16B3">
        <w:rPr>
          <w:rFonts w:ascii="Calibri" w:hAnsi="Calibri" w:cs="Calibri"/>
          <w:i/>
          <w:shd w:val="clear" w:color="auto" w:fill="FFFFFF"/>
        </w:rPr>
        <w:t>293,900</w:t>
      </w:r>
      <w:r w:rsidR="00FA16B3" w:rsidRPr="00FA16B3">
        <w:rPr>
          <w:rFonts w:ascii="Calibri" w:hAnsi="Calibri" w:cs="Calibri"/>
          <w:i/>
          <w:shd w:val="clear" w:color="auto" w:fill="FFFFFF"/>
        </w:rPr>
        <w:t xml:space="preserve">.   </w:t>
      </w:r>
      <w:r w:rsidR="00FA16B3">
        <w:rPr>
          <w:rFonts w:ascii="Calibri" w:hAnsi="Calibri" w:cs="Calibri"/>
          <w:shd w:val="clear" w:color="auto" w:fill="FFFFFF"/>
        </w:rPr>
        <w:br/>
      </w:r>
      <w:r w:rsidR="00FF5A35">
        <w:rPr>
          <w:rFonts w:ascii="Calibri" w:hAnsi="Calibri" w:cs="Calibri"/>
          <w:shd w:val="clear" w:color="auto" w:fill="FFFFFF"/>
        </w:rPr>
        <w:t xml:space="preserve">Cell </w:t>
      </w:r>
      <w:r w:rsidR="000B773F" w:rsidRPr="002F5BF0">
        <w:rPr>
          <w:rFonts w:ascii="Calibri" w:hAnsi="Calibri" w:cs="Calibri"/>
          <w:shd w:val="clear" w:color="auto" w:fill="FFFFFF"/>
        </w:rPr>
        <w:t>L4</w:t>
      </w:r>
      <w:r w:rsidR="00FF5A35">
        <w:rPr>
          <w:rFonts w:ascii="Calibri" w:hAnsi="Calibri" w:cs="Calibri"/>
          <w:shd w:val="clear" w:color="auto" w:fill="FFFFFF"/>
        </w:rPr>
        <w:t xml:space="preserve">:  This is a complicated parameter and hard to estimate at this stage of an idea.  It can range from several </w:t>
      </w:r>
      <w:r w:rsidR="00FA16B3">
        <w:rPr>
          <w:rFonts w:ascii="Calibri" w:hAnsi="Calibri" w:cs="Calibri"/>
          <w:shd w:val="clear" w:color="auto" w:fill="FFFFFF"/>
        </w:rPr>
        <w:t>hundred dollars t</w:t>
      </w:r>
      <w:r w:rsidR="00FF5A35">
        <w:rPr>
          <w:rFonts w:ascii="Calibri" w:hAnsi="Calibri" w:cs="Calibri"/>
          <w:shd w:val="clear" w:color="auto" w:fill="FFFFFF"/>
        </w:rPr>
        <w:t>o several thousand annually depending on the specific situation.  If your pattern of power usage never exceeds 25 kW for any 15 minute</w:t>
      </w:r>
      <w:r w:rsidR="00FA16B3">
        <w:rPr>
          <w:rFonts w:ascii="Calibri" w:hAnsi="Calibri" w:cs="Calibri"/>
          <w:shd w:val="clear" w:color="auto" w:fill="FFFFFF"/>
        </w:rPr>
        <w:t>s</w:t>
      </w:r>
      <w:r w:rsidR="00FF5A35">
        <w:rPr>
          <w:rFonts w:ascii="Calibri" w:hAnsi="Calibri" w:cs="Calibri"/>
          <w:shd w:val="clear" w:color="auto" w:fill="FFFFFF"/>
        </w:rPr>
        <w:t>, this will be several hundred dollars.   If your power usage ever exceed</w:t>
      </w:r>
      <w:r w:rsidR="00FA16B3">
        <w:rPr>
          <w:rFonts w:ascii="Calibri" w:hAnsi="Calibri" w:cs="Calibri"/>
          <w:shd w:val="clear" w:color="auto" w:fill="FFFFFF"/>
        </w:rPr>
        <w:t>s</w:t>
      </w:r>
      <w:r w:rsidR="00FF5A35">
        <w:rPr>
          <w:rFonts w:ascii="Calibri" w:hAnsi="Calibri" w:cs="Calibri"/>
          <w:shd w:val="clear" w:color="auto" w:fill="FFFFFF"/>
        </w:rPr>
        <w:t xml:space="preserve"> 25 kW for 15 minutes or longer during a billing cycle, there could be a “demand” charge of several thousand dollars.  First Universalist has a usage profile that has occasional peak demands above 25 kW and as a result</w:t>
      </w:r>
      <w:r w:rsidR="00FA16B3">
        <w:rPr>
          <w:rFonts w:ascii="Calibri" w:hAnsi="Calibri" w:cs="Calibri"/>
          <w:shd w:val="clear" w:color="auto" w:fill="FFFFFF"/>
        </w:rPr>
        <w:t>,</w:t>
      </w:r>
      <w:r w:rsidR="00FF5A35">
        <w:rPr>
          <w:rFonts w:ascii="Calibri" w:hAnsi="Calibri" w:cs="Calibri"/>
          <w:shd w:val="clear" w:color="auto" w:fill="FFFFFF"/>
        </w:rPr>
        <w:t xml:space="preserve"> is paying a demand charge equivalent to $3600 / year.  (There are ways to minimize this Fee that are beyond the scope of this estimating workshop)</w:t>
      </w:r>
      <w:r w:rsidR="00FA16B3">
        <w:rPr>
          <w:rFonts w:ascii="Calibri" w:hAnsi="Calibri" w:cs="Calibri"/>
          <w:shd w:val="clear" w:color="auto" w:fill="FFFFFF"/>
        </w:rPr>
        <w:t xml:space="preserve"> - </w:t>
      </w:r>
      <w:r w:rsidR="00FA16B3" w:rsidRPr="00FA16B3">
        <w:rPr>
          <w:rFonts w:ascii="Calibri" w:hAnsi="Calibri" w:cs="Calibri"/>
          <w:i/>
          <w:shd w:val="clear" w:color="auto" w:fill="FFFFFF"/>
        </w:rPr>
        <w:t>in this example $</w:t>
      </w:r>
      <w:r w:rsidR="00F80EE7">
        <w:rPr>
          <w:rFonts w:ascii="Calibri" w:hAnsi="Calibri" w:cs="Calibri"/>
          <w:i/>
          <w:shd w:val="clear" w:color="auto" w:fill="FFFFFF"/>
        </w:rPr>
        <w:t>540</w:t>
      </w:r>
      <w:r w:rsidR="00FA16B3">
        <w:rPr>
          <w:rFonts w:ascii="Calibri" w:hAnsi="Calibri" w:cs="Calibri"/>
          <w:i/>
          <w:shd w:val="clear" w:color="auto" w:fill="FFFFFF"/>
        </w:rPr>
        <w:t xml:space="preserve"> / year was assumed</w:t>
      </w:r>
      <w:r w:rsidR="00FA16B3" w:rsidRPr="00FA16B3">
        <w:rPr>
          <w:rFonts w:ascii="Calibri" w:hAnsi="Calibri" w:cs="Calibri"/>
          <w:i/>
          <w:shd w:val="clear" w:color="auto" w:fill="FFFFFF"/>
        </w:rPr>
        <w:t xml:space="preserve">.   </w:t>
      </w:r>
      <w:r w:rsidR="00FA16B3">
        <w:rPr>
          <w:rFonts w:ascii="Calibri" w:hAnsi="Calibri" w:cs="Calibri"/>
          <w:shd w:val="clear" w:color="auto" w:fill="FFFFFF"/>
        </w:rPr>
        <w:br/>
      </w:r>
    </w:p>
    <w:p w:rsidR="000B773F" w:rsidRDefault="00FF5A35" w:rsidP="000B773F">
      <w:pPr>
        <w:pStyle w:val="ecxmsonormal"/>
        <w:rPr>
          <w:rFonts w:ascii="Calibri" w:hAnsi="Calibri" w:cs="Calibri"/>
          <w:i/>
          <w:shd w:val="clear" w:color="auto" w:fill="FFFFFF"/>
        </w:rPr>
      </w:pPr>
      <w:r>
        <w:rPr>
          <w:rFonts w:ascii="Calibri" w:hAnsi="Calibri" w:cs="Calibri"/>
          <w:shd w:val="clear" w:color="auto" w:fill="FFFFFF"/>
        </w:rPr>
        <w:t xml:space="preserve">Cell </w:t>
      </w:r>
      <w:r w:rsidR="000B773F" w:rsidRPr="002F5BF0">
        <w:rPr>
          <w:rFonts w:ascii="Calibri" w:hAnsi="Calibri" w:cs="Calibri"/>
          <w:shd w:val="clear" w:color="auto" w:fill="FFFFFF"/>
        </w:rPr>
        <w:t>L5</w:t>
      </w:r>
      <w:r>
        <w:rPr>
          <w:rFonts w:ascii="Calibri" w:hAnsi="Calibri" w:cs="Calibri"/>
          <w:shd w:val="clear" w:color="auto" w:fill="FFFFFF"/>
        </w:rPr>
        <w:t>:  It is wise to have a service agreement</w:t>
      </w:r>
      <w:r w:rsidR="00FA16B3">
        <w:rPr>
          <w:rFonts w:ascii="Calibri" w:hAnsi="Calibri" w:cs="Calibri"/>
          <w:shd w:val="clear" w:color="auto" w:fill="FFFFFF"/>
        </w:rPr>
        <w:t xml:space="preserve"> to help maintain the energy system</w:t>
      </w:r>
      <w:r>
        <w:rPr>
          <w:rFonts w:ascii="Calibri" w:hAnsi="Calibri" w:cs="Calibri"/>
          <w:shd w:val="clear" w:color="auto" w:fill="FFFFFF"/>
        </w:rPr>
        <w:t xml:space="preserve">.   Both the Solar Electric and Geothermal systems can be monitored remotely using the internet.   Both systems should have 10-20 year warranties but do budget several hundred dollars annually  </w:t>
      </w:r>
      <w:r w:rsidR="00FA16B3">
        <w:rPr>
          <w:rFonts w:ascii="Calibri" w:hAnsi="Calibri" w:cs="Calibri"/>
          <w:shd w:val="clear" w:color="auto" w:fill="FFFFFF"/>
        </w:rPr>
        <w:t xml:space="preserve">- </w:t>
      </w:r>
      <w:r w:rsidR="00FA16B3" w:rsidRPr="00FA16B3">
        <w:rPr>
          <w:rFonts w:ascii="Calibri" w:hAnsi="Calibri" w:cs="Calibri"/>
          <w:i/>
          <w:shd w:val="clear" w:color="auto" w:fill="FFFFFF"/>
        </w:rPr>
        <w:t>in this example $</w:t>
      </w:r>
      <w:r w:rsidR="00F80EE7">
        <w:rPr>
          <w:rFonts w:ascii="Calibri" w:hAnsi="Calibri" w:cs="Calibri"/>
          <w:i/>
          <w:shd w:val="clear" w:color="auto" w:fill="FFFFFF"/>
        </w:rPr>
        <w:t>460</w:t>
      </w:r>
      <w:r w:rsidR="00FA16B3">
        <w:rPr>
          <w:rFonts w:ascii="Calibri" w:hAnsi="Calibri" w:cs="Calibri"/>
          <w:i/>
          <w:shd w:val="clear" w:color="auto" w:fill="FFFFFF"/>
        </w:rPr>
        <w:t xml:space="preserve"> / year was assumed</w:t>
      </w:r>
      <w:r w:rsidR="00FA16B3" w:rsidRPr="00FA16B3">
        <w:rPr>
          <w:rFonts w:ascii="Calibri" w:hAnsi="Calibri" w:cs="Calibri"/>
          <w:i/>
          <w:shd w:val="clear" w:color="auto" w:fill="FFFFFF"/>
        </w:rPr>
        <w:t xml:space="preserve">.   </w:t>
      </w:r>
    </w:p>
    <w:p w:rsidR="00F80EE7" w:rsidRPr="00F80EE7" w:rsidRDefault="00F80EE7" w:rsidP="000B773F">
      <w:pPr>
        <w:pStyle w:val="ecxmsonormal"/>
        <w:rPr>
          <w:rFonts w:ascii="Calibri" w:hAnsi="Calibri" w:cs="Calibri"/>
          <w:shd w:val="clear" w:color="auto" w:fill="FFFFFF"/>
        </w:rPr>
      </w:pPr>
      <w:r w:rsidRPr="00F80EE7">
        <w:rPr>
          <w:rFonts w:ascii="Calibri" w:hAnsi="Calibri" w:cs="Calibri"/>
          <w:shd w:val="clear" w:color="auto" w:fill="FFFFFF"/>
        </w:rPr>
        <w:t>Cell L6: The sum total Operating and Maintenance expensions are estimated to be $1000 /year</w:t>
      </w:r>
      <w:r>
        <w:rPr>
          <w:rFonts w:ascii="Calibri" w:hAnsi="Calibri" w:cs="Calibri"/>
          <w:shd w:val="clear" w:color="auto" w:fill="FFFFFF"/>
        </w:rPr>
        <w:t>.</w:t>
      </w:r>
    </w:p>
    <w:p w:rsidR="009A0331" w:rsidRPr="002F5BF0" w:rsidRDefault="009A0331" w:rsidP="000B773F">
      <w:pPr>
        <w:pStyle w:val="ecxmsonormal"/>
        <w:rPr>
          <w:rFonts w:ascii="Calibri" w:hAnsi="Calibri" w:cs="Calibri"/>
          <w:shd w:val="clear" w:color="auto" w:fill="FFFFFF"/>
        </w:rPr>
      </w:pPr>
      <w:r>
        <w:rPr>
          <w:noProof/>
        </w:rPr>
        <w:drawing>
          <wp:inline distT="0" distB="0" distL="0" distR="0" wp14:anchorId="0EC1F547" wp14:editId="41EB65AE">
            <wp:extent cx="6400725" cy="1286359"/>
            <wp:effectExtent l="0" t="0" r="63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6" t="11465" r="46120" b="70412"/>
                    <a:stretch/>
                  </pic:blipFill>
                  <pic:spPr bwMode="auto">
                    <a:xfrm>
                      <a:off x="0" y="0"/>
                      <a:ext cx="6400800" cy="1286374"/>
                    </a:xfrm>
                    <a:prstGeom prst="rect">
                      <a:avLst/>
                    </a:prstGeom>
                    <a:ln>
                      <a:noFill/>
                    </a:ln>
                    <a:extLst>
                      <a:ext uri="{53640926-AAD7-44D8-BBD7-CCE9431645EC}">
                        <a14:shadowObscured xmlns:a14="http://schemas.microsoft.com/office/drawing/2010/main"/>
                      </a:ext>
                    </a:extLst>
                  </pic:spPr>
                </pic:pic>
              </a:graphicData>
            </a:graphic>
          </wp:inline>
        </w:drawing>
      </w:r>
    </w:p>
    <w:p w:rsidR="00560C0B" w:rsidRDefault="00560C0B" w:rsidP="00D10067">
      <w:pPr>
        <w:pStyle w:val="ecxmsonormal"/>
        <w:rPr>
          <w:shd w:val="clear" w:color="auto" w:fill="FFFFFF"/>
        </w:rPr>
      </w:pPr>
    </w:p>
    <w:p w:rsidR="00F80EE7" w:rsidRDefault="00F80EE7" w:rsidP="00F80EE7">
      <w:pPr>
        <w:pStyle w:val="ecxmsonormal"/>
        <w:rPr>
          <w:rFonts w:ascii="Calibri" w:hAnsi="Calibri" w:cs="Calibri"/>
          <w:shd w:val="clear" w:color="auto" w:fill="FFFFFF"/>
        </w:rPr>
      </w:pPr>
      <w:r w:rsidRPr="003F082E">
        <w:rPr>
          <w:rFonts w:asciiTheme="minorHAnsi" w:hAnsiTheme="minorHAnsi" w:cstheme="minorHAnsi"/>
          <w:shd w:val="clear" w:color="auto" w:fill="FFFFFF"/>
        </w:rPr>
        <w:lastRenderedPageBreak/>
        <w:t>It is now time to explore ways to raise the capital required to purchase the new equipment.  Generally</w:t>
      </w:r>
      <w:r>
        <w:rPr>
          <w:rFonts w:asciiTheme="minorHAnsi" w:hAnsiTheme="minorHAnsi" w:cstheme="minorHAnsi"/>
          <w:shd w:val="clear" w:color="auto" w:fill="FFFFFF"/>
        </w:rPr>
        <w:t>,</w:t>
      </w:r>
      <w:r w:rsidRPr="003F082E">
        <w:rPr>
          <w:rFonts w:asciiTheme="minorHAnsi" w:hAnsiTheme="minorHAnsi" w:cstheme="minorHAnsi"/>
          <w:shd w:val="clear" w:color="auto" w:fill="FFFFFF"/>
        </w:rPr>
        <w:t xml:space="preserve"> it is easier to take out a loan than solicit grants</w:t>
      </w:r>
      <w:r>
        <w:rPr>
          <w:rFonts w:asciiTheme="minorHAnsi" w:hAnsiTheme="minorHAnsi" w:cstheme="minorHAnsi"/>
          <w:shd w:val="clear" w:color="auto" w:fill="FFFFFF"/>
        </w:rPr>
        <w:t>/</w:t>
      </w:r>
      <w:r w:rsidRPr="003F082E">
        <w:rPr>
          <w:rFonts w:asciiTheme="minorHAnsi" w:hAnsiTheme="minorHAnsi" w:cstheme="minorHAnsi"/>
          <w:shd w:val="clear" w:color="auto" w:fill="FFFFFF"/>
        </w:rPr>
        <w:t xml:space="preserve">donations.   So </w:t>
      </w:r>
      <w:r>
        <w:rPr>
          <w:rFonts w:asciiTheme="minorHAnsi" w:hAnsiTheme="minorHAnsi" w:cstheme="minorHAnsi"/>
          <w:shd w:val="clear" w:color="auto" w:fill="FFFFFF"/>
        </w:rPr>
        <w:t xml:space="preserve">the spreadsheet model </w:t>
      </w:r>
      <w:r w:rsidRPr="003F082E">
        <w:rPr>
          <w:rFonts w:asciiTheme="minorHAnsi" w:hAnsiTheme="minorHAnsi" w:cstheme="minorHAnsi"/>
          <w:shd w:val="clear" w:color="auto" w:fill="FFFFFF"/>
        </w:rPr>
        <w:t>maximize</w:t>
      </w:r>
      <w:r>
        <w:rPr>
          <w:rFonts w:asciiTheme="minorHAnsi" w:hAnsiTheme="minorHAnsi" w:cstheme="minorHAnsi"/>
          <w:shd w:val="clear" w:color="auto" w:fill="FFFFFF"/>
        </w:rPr>
        <w:t>s</w:t>
      </w:r>
      <w:r w:rsidRPr="003F082E">
        <w:rPr>
          <w:rFonts w:asciiTheme="minorHAnsi" w:hAnsiTheme="minorHAnsi" w:cstheme="minorHAnsi"/>
          <w:shd w:val="clear" w:color="auto" w:fill="FFFFFF"/>
        </w:rPr>
        <w:t xml:space="preserve"> the size of a loan that can be serviced by the available revenue budgeted for utilities.</w:t>
      </w:r>
    </w:p>
    <w:p w:rsidR="00FA16B3" w:rsidRDefault="00FF5A35" w:rsidP="00D10067">
      <w:pPr>
        <w:pStyle w:val="ecxmsonormal"/>
        <w:rPr>
          <w:rFonts w:ascii="Calibri" w:hAnsi="Calibri" w:cs="Calibri"/>
          <w:shd w:val="clear" w:color="auto" w:fill="FFFFFF"/>
        </w:rPr>
      </w:pPr>
      <w:r w:rsidRPr="00FF5A35">
        <w:rPr>
          <w:rFonts w:ascii="Calibri" w:hAnsi="Calibri" w:cs="Calibri"/>
          <w:shd w:val="clear" w:color="auto" w:fill="FFFFFF"/>
        </w:rPr>
        <w:t xml:space="preserve">After providing this </w:t>
      </w:r>
      <w:r w:rsidR="00FA16B3">
        <w:rPr>
          <w:rFonts w:ascii="Calibri" w:hAnsi="Calibri" w:cs="Calibri"/>
          <w:shd w:val="clear" w:color="auto" w:fill="FFFFFF"/>
        </w:rPr>
        <w:t>necessary</w:t>
      </w:r>
      <w:r w:rsidRPr="00FF5A35">
        <w:rPr>
          <w:rFonts w:ascii="Calibri" w:hAnsi="Calibri" w:cs="Calibri"/>
          <w:shd w:val="clear" w:color="auto" w:fill="FFFFFF"/>
        </w:rPr>
        <w:t xml:space="preserve"> information, the model calculates the </w:t>
      </w:r>
      <w:r w:rsidR="00FA16B3">
        <w:rPr>
          <w:rFonts w:ascii="Calibri" w:hAnsi="Calibri" w:cs="Calibri"/>
          <w:shd w:val="clear" w:color="auto" w:fill="FFFFFF"/>
        </w:rPr>
        <w:t>amount of money that can be borrowed and repaid by diverting the current utility expenses (no longer relevant for the proposed renewable energy system) to repay a loan.</w:t>
      </w:r>
    </w:p>
    <w:p w:rsidR="009A0331" w:rsidRDefault="009A0331" w:rsidP="00D10067">
      <w:pPr>
        <w:pStyle w:val="ecxmsonormal"/>
        <w:rPr>
          <w:rFonts w:ascii="Calibri" w:hAnsi="Calibri" w:cs="Calibri"/>
          <w:shd w:val="clear" w:color="auto" w:fill="FFFFFF"/>
        </w:rPr>
      </w:pPr>
      <w:r>
        <w:rPr>
          <w:noProof/>
        </w:rPr>
        <w:drawing>
          <wp:inline distT="0" distB="0" distL="0" distR="0" wp14:anchorId="47F6F13E" wp14:editId="6791B914">
            <wp:extent cx="6398317" cy="619933"/>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6" t="11465" r="46120" b="79798"/>
                    <a:stretch/>
                  </pic:blipFill>
                  <pic:spPr bwMode="auto">
                    <a:xfrm>
                      <a:off x="0" y="0"/>
                      <a:ext cx="6400800" cy="620174"/>
                    </a:xfrm>
                    <a:prstGeom prst="rect">
                      <a:avLst/>
                    </a:prstGeom>
                    <a:ln>
                      <a:noFill/>
                    </a:ln>
                    <a:extLst>
                      <a:ext uri="{53640926-AAD7-44D8-BBD7-CCE9431645EC}">
                        <a14:shadowObscured xmlns:a14="http://schemas.microsoft.com/office/drawing/2010/main"/>
                      </a:ext>
                    </a:extLst>
                  </pic:spPr>
                </pic:pic>
              </a:graphicData>
            </a:graphic>
          </wp:inline>
        </w:drawing>
      </w:r>
    </w:p>
    <w:p w:rsidR="009A0331" w:rsidRDefault="009A0331" w:rsidP="00D10067">
      <w:pPr>
        <w:pStyle w:val="ecxmsonormal"/>
        <w:rPr>
          <w:rFonts w:ascii="Calibri" w:hAnsi="Calibri" w:cs="Calibri"/>
          <w:shd w:val="clear" w:color="auto" w:fill="FFFFFF"/>
        </w:rPr>
      </w:pPr>
      <w:r>
        <w:rPr>
          <w:noProof/>
        </w:rPr>
        <w:drawing>
          <wp:inline distT="0" distB="0" distL="0" distR="0" wp14:anchorId="0DF19F4E" wp14:editId="09792DA2">
            <wp:extent cx="6400165" cy="1162373"/>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6" t="28932" r="46120" b="54690"/>
                    <a:stretch/>
                  </pic:blipFill>
                  <pic:spPr bwMode="auto">
                    <a:xfrm>
                      <a:off x="0" y="0"/>
                      <a:ext cx="6400800" cy="1162488"/>
                    </a:xfrm>
                    <a:prstGeom prst="rect">
                      <a:avLst/>
                    </a:prstGeom>
                    <a:ln>
                      <a:noFill/>
                    </a:ln>
                    <a:extLst>
                      <a:ext uri="{53640926-AAD7-44D8-BBD7-CCE9431645EC}">
                        <a14:shadowObscured xmlns:a14="http://schemas.microsoft.com/office/drawing/2010/main"/>
                      </a:ext>
                    </a:extLst>
                  </pic:spPr>
                </pic:pic>
              </a:graphicData>
            </a:graphic>
          </wp:inline>
        </w:drawing>
      </w:r>
    </w:p>
    <w:p w:rsidR="001A1B69" w:rsidRPr="00FA16B3" w:rsidRDefault="001A1B69" w:rsidP="00D10067">
      <w:pPr>
        <w:pStyle w:val="ecxmsonormal"/>
        <w:rPr>
          <w:rFonts w:asciiTheme="minorHAnsi" w:hAnsiTheme="minorHAnsi" w:cstheme="minorHAnsi"/>
          <w:i/>
          <w:shd w:val="clear" w:color="auto" w:fill="FFFFFF"/>
        </w:rPr>
      </w:pPr>
      <w:r w:rsidRPr="003F082E">
        <w:rPr>
          <w:rFonts w:asciiTheme="minorHAnsi" w:hAnsiTheme="minorHAnsi" w:cstheme="minorHAnsi"/>
          <w:shd w:val="clear" w:color="auto" w:fill="FFFFFF"/>
        </w:rPr>
        <w:t xml:space="preserve">To </w:t>
      </w:r>
      <w:r w:rsidR="00FA16B3">
        <w:rPr>
          <w:rFonts w:asciiTheme="minorHAnsi" w:hAnsiTheme="minorHAnsi" w:cstheme="minorHAnsi"/>
          <w:shd w:val="clear" w:color="auto" w:fill="FFFFFF"/>
        </w:rPr>
        <w:t>use this approach,</w:t>
      </w:r>
      <w:r w:rsidRPr="003F082E">
        <w:rPr>
          <w:rFonts w:asciiTheme="minorHAnsi" w:hAnsiTheme="minorHAnsi" w:cstheme="minorHAnsi"/>
          <w:shd w:val="clear" w:color="auto" w:fill="FFFFFF"/>
        </w:rPr>
        <w:t xml:space="preserve"> the user </w:t>
      </w:r>
      <w:r w:rsidR="00FA16B3">
        <w:rPr>
          <w:rFonts w:asciiTheme="minorHAnsi" w:hAnsiTheme="minorHAnsi" w:cstheme="minorHAnsi"/>
          <w:shd w:val="clear" w:color="auto" w:fill="FFFFFF"/>
        </w:rPr>
        <w:t>must</w:t>
      </w:r>
      <w:r w:rsidRPr="003F082E">
        <w:rPr>
          <w:rFonts w:asciiTheme="minorHAnsi" w:hAnsiTheme="minorHAnsi" w:cstheme="minorHAnsi"/>
          <w:shd w:val="clear" w:color="auto" w:fill="FFFFFF"/>
        </w:rPr>
        <w:t xml:space="preserve"> set some boundaries </w:t>
      </w:r>
      <w:r w:rsidR="00FA16B3">
        <w:rPr>
          <w:rFonts w:asciiTheme="minorHAnsi" w:hAnsiTheme="minorHAnsi" w:cstheme="minorHAnsi"/>
          <w:shd w:val="clear" w:color="auto" w:fill="FFFFFF"/>
        </w:rPr>
        <w:t xml:space="preserve">for a </w:t>
      </w:r>
      <w:r w:rsidRPr="003F082E">
        <w:rPr>
          <w:rFonts w:asciiTheme="minorHAnsi" w:hAnsiTheme="minorHAnsi" w:cstheme="minorHAnsi"/>
          <w:shd w:val="clear" w:color="auto" w:fill="FFFFFF"/>
        </w:rPr>
        <w:t>loan.   Namely</w:t>
      </w:r>
      <w:r w:rsidR="00FA16B3">
        <w:rPr>
          <w:rFonts w:asciiTheme="minorHAnsi" w:hAnsiTheme="minorHAnsi" w:cstheme="minorHAnsi"/>
          <w:shd w:val="clear" w:color="auto" w:fill="FFFFFF"/>
        </w:rPr>
        <w:t>,</w:t>
      </w:r>
      <w:r w:rsidRPr="003F082E">
        <w:rPr>
          <w:rFonts w:asciiTheme="minorHAnsi" w:hAnsiTheme="minorHAnsi" w:cstheme="minorHAnsi"/>
          <w:shd w:val="clear" w:color="auto" w:fill="FFFFFF"/>
        </w:rPr>
        <w:t xml:space="preserve"> </w:t>
      </w:r>
      <w:r w:rsidR="00FA16B3">
        <w:rPr>
          <w:rFonts w:asciiTheme="minorHAnsi" w:hAnsiTheme="minorHAnsi" w:cstheme="minorHAnsi"/>
          <w:shd w:val="clear" w:color="auto" w:fill="FFFFFF"/>
        </w:rPr>
        <w:t xml:space="preserve">the </w:t>
      </w:r>
      <w:r w:rsidRPr="003F082E">
        <w:rPr>
          <w:rFonts w:asciiTheme="minorHAnsi" w:hAnsiTheme="minorHAnsi" w:cstheme="minorHAnsi"/>
          <w:shd w:val="clear" w:color="auto" w:fill="FFFFFF"/>
        </w:rPr>
        <w:t>interest rate and period</w:t>
      </w:r>
      <w:r w:rsidR="00FA16B3">
        <w:rPr>
          <w:rFonts w:asciiTheme="minorHAnsi" w:hAnsiTheme="minorHAnsi" w:cstheme="minorHAnsi"/>
          <w:shd w:val="clear" w:color="auto" w:fill="FFFFFF"/>
        </w:rPr>
        <w:t xml:space="preserve"> of the loan must be assumed/specified</w:t>
      </w:r>
      <w:r w:rsidRPr="003F082E">
        <w:rPr>
          <w:rFonts w:asciiTheme="minorHAnsi" w:hAnsiTheme="minorHAnsi" w:cstheme="minorHAnsi"/>
          <w:shd w:val="clear" w:color="auto" w:fill="FFFFFF"/>
        </w:rPr>
        <w:t xml:space="preserve">.   </w:t>
      </w:r>
      <w:r w:rsidRPr="00FA16B3">
        <w:rPr>
          <w:rFonts w:asciiTheme="minorHAnsi" w:hAnsiTheme="minorHAnsi" w:cstheme="minorHAnsi"/>
          <w:i/>
          <w:shd w:val="clear" w:color="auto" w:fill="FFFFFF"/>
        </w:rPr>
        <w:t>First Universal</w:t>
      </w:r>
      <w:r w:rsidR="00FA16B3" w:rsidRPr="00FA16B3">
        <w:rPr>
          <w:rFonts w:asciiTheme="minorHAnsi" w:hAnsiTheme="minorHAnsi" w:cstheme="minorHAnsi"/>
          <w:i/>
          <w:shd w:val="clear" w:color="auto" w:fill="FFFFFF"/>
        </w:rPr>
        <w:t>is</w:t>
      </w:r>
      <w:r w:rsidRPr="00FA16B3">
        <w:rPr>
          <w:rFonts w:asciiTheme="minorHAnsi" w:hAnsiTheme="minorHAnsi" w:cstheme="minorHAnsi"/>
          <w:i/>
          <w:shd w:val="clear" w:color="auto" w:fill="FFFFFF"/>
        </w:rPr>
        <w:t>t found member donors will</w:t>
      </w:r>
      <w:r w:rsidR="00F80EE7">
        <w:rPr>
          <w:rFonts w:asciiTheme="minorHAnsi" w:hAnsiTheme="minorHAnsi" w:cstheme="minorHAnsi"/>
          <w:i/>
          <w:shd w:val="clear" w:color="auto" w:fill="FFFFFF"/>
        </w:rPr>
        <w:t>ing</w:t>
      </w:r>
      <w:r w:rsidRPr="00FA16B3">
        <w:rPr>
          <w:rFonts w:asciiTheme="minorHAnsi" w:hAnsiTheme="minorHAnsi" w:cstheme="minorHAnsi"/>
          <w:i/>
          <w:shd w:val="clear" w:color="auto" w:fill="FFFFFF"/>
        </w:rPr>
        <w:t xml:space="preserve"> to loan the church money at a</w:t>
      </w:r>
      <w:r w:rsidR="00FA16B3" w:rsidRPr="00FA16B3">
        <w:rPr>
          <w:rFonts w:asciiTheme="minorHAnsi" w:hAnsiTheme="minorHAnsi" w:cstheme="minorHAnsi"/>
          <w:i/>
          <w:shd w:val="clear" w:color="auto" w:fill="FFFFFF"/>
        </w:rPr>
        <w:t>n interest</w:t>
      </w:r>
      <w:r w:rsidRPr="00FA16B3">
        <w:rPr>
          <w:rFonts w:asciiTheme="minorHAnsi" w:hAnsiTheme="minorHAnsi" w:cstheme="minorHAnsi"/>
          <w:i/>
          <w:shd w:val="clear" w:color="auto" w:fill="FFFFFF"/>
        </w:rPr>
        <w:t xml:space="preserve"> rate as low as 1.5% for a period as long as 10-15 years.  </w:t>
      </w:r>
    </w:p>
    <w:p w:rsidR="00FA16B3" w:rsidRDefault="00FA16B3" w:rsidP="00D10067">
      <w:pPr>
        <w:pStyle w:val="ecxmsonormal"/>
        <w:rPr>
          <w:rFonts w:asciiTheme="minorHAnsi" w:hAnsiTheme="minorHAnsi" w:cstheme="minorHAnsi"/>
          <w:shd w:val="clear" w:color="auto" w:fill="FFFFFF"/>
        </w:rPr>
      </w:pPr>
      <w:r>
        <w:rPr>
          <w:rFonts w:asciiTheme="minorHAnsi" w:hAnsiTheme="minorHAnsi" w:cstheme="minorHAnsi"/>
          <w:shd w:val="clear" w:color="auto" w:fill="FFFFFF"/>
        </w:rPr>
        <w:t>This loan information is input into the following cells:</w:t>
      </w:r>
    </w:p>
    <w:p w:rsidR="000B773F" w:rsidRPr="003F082E" w:rsidRDefault="001A1B69" w:rsidP="00D10067">
      <w:pPr>
        <w:pStyle w:val="ecxmsonormal"/>
        <w:rPr>
          <w:rFonts w:asciiTheme="minorHAnsi" w:hAnsiTheme="minorHAnsi" w:cstheme="minorHAnsi"/>
          <w:shd w:val="clear" w:color="auto" w:fill="FFFFFF"/>
        </w:rPr>
      </w:pPr>
      <w:r w:rsidRPr="003F082E">
        <w:rPr>
          <w:rFonts w:asciiTheme="minorHAnsi" w:hAnsiTheme="minorHAnsi" w:cstheme="minorHAnsi"/>
          <w:shd w:val="clear" w:color="auto" w:fill="FFFFFF"/>
        </w:rPr>
        <w:t xml:space="preserve">Cell </w:t>
      </w:r>
      <w:r w:rsidR="000B773F" w:rsidRPr="003F082E">
        <w:rPr>
          <w:rFonts w:asciiTheme="minorHAnsi" w:hAnsiTheme="minorHAnsi" w:cstheme="minorHAnsi"/>
          <w:shd w:val="clear" w:color="auto" w:fill="FFFFFF"/>
        </w:rPr>
        <w:t>E13</w:t>
      </w:r>
      <w:r w:rsidR="003F082E" w:rsidRPr="003F082E">
        <w:rPr>
          <w:rFonts w:asciiTheme="minorHAnsi" w:hAnsiTheme="minorHAnsi" w:cstheme="minorHAnsi"/>
          <w:shd w:val="clear" w:color="auto" w:fill="FFFFFF"/>
        </w:rPr>
        <w:t xml:space="preserve">:  </w:t>
      </w:r>
      <w:r w:rsidR="00FA16B3">
        <w:rPr>
          <w:rFonts w:asciiTheme="minorHAnsi" w:hAnsiTheme="minorHAnsi" w:cstheme="minorHAnsi"/>
          <w:shd w:val="clear" w:color="auto" w:fill="FFFFFF"/>
        </w:rPr>
        <w:t>e.g., a</w:t>
      </w:r>
      <w:r w:rsidR="003F082E" w:rsidRPr="003F082E">
        <w:rPr>
          <w:rFonts w:asciiTheme="minorHAnsi" w:hAnsiTheme="minorHAnsi" w:cstheme="minorHAnsi"/>
          <w:shd w:val="clear" w:color="auto" w:fill="FFFFFF"/>
        </w:rPr>
        <w:t xml:space="preserve">ssume </w:t>
      </w:r>
      <w:r w:rsidR="00FA16B3">
        <w:rPr>
          <w:rFonts w:asciiTheme="minorHAnsi" w:hAnsiTheme="minorHAnsi" w:cstheme="minorHAnsi"/>
          <w:shd w:val="clear" w:color="auto" w:fill="FFFFFF"/>
        </w:rPr>
        <w:t xml:space="preserve">15-year term </w:t>
      </w:r>
      <w:r w:rsidR="003F082E" w:rsidRPr="003F082E">
        <w:rPr>
          <w:rFonts w:asciiTheme="minorHAnsi" w:hAnsiTheme="minorHAnsi" w:cstheme="minorHAnsi"/>
          <w:shd w:val="clear" w:color="auto" w:fill="FFFFFF"/>
        </w:rPr>
        <w:t>for a loan</w:t>
      </w:r>
      <w:r w:rsidR="00FA16B3">
        <w:rPr>
          <w:rFonts w:asciiTheme="minorHAnsi" w:hAnsiTheme="minorHAnsi" w:cstheme="minorHAnsi"/>
          <w:shd w:val="clear" w:color="auto" w:fill="FFFFFF"/>
        </w:rPr>
        <w:br/>
      </w:r>
      <w:r w:rsidR="003F082E" w:rsidRPr="003F082E">
        <w:rPr>
          <w:rFonts w:asciiTheme="minorHAnsi" w:hAnsiTheme="minorHAnsi" w:cstheme="minorHAnsi"/>
          <w:shd w:val="clear" w:color="auto" w:fill="FFFFFF"/>
        </w:rPr>
        <w:t xml:space="preserve">Cell </w:t>
      </w:r>
      <w:r w:rsidR="000B773F" w:rsidRPr="003F082E">
        <w:rPr>
          <w:rFonts w:asciiTheme="minorHAnsi" w:hAnsiTheme="minorHAnsi" w:cstheme="minorHAnsi"/>
          <w:shd w:val="clear" w:color="auto" w:fill="FFFFFF"/>
        </w:rPr>
        <w:t>G13</w:t>
      </w:r>
      <w:r w:rsidR="003F082E" w:rsidRPr="003F082E">
        <w:rPr>
          <w:rFonts w:asciiTheme="minorHAnsi" w:hAnsiTheme="minorHAnsi" w:cstheme="minorHAnsi"/>
          <w:shd w:val="clear" w:color="auto" w:fill="FFFFFF"/>
        </w:rPr>
        <w:t xml:space="preserve">:  Assume a 1.5% interest rate </w:t>
      </w:r>
    </w:p>
    <w:p w:rsidR="003F082E" w:rsidRDefault="003F082E" w:rsidP="003F082E">
      <w:pPr>
        <w:pStyle w:val="ecxmsonormal"/>
        <w:rPr>
          <w:rFonts w:asciiTheme="minorHAnsi" w:hAnsiTheme="minorHAnsi" w:cstheme="minorHAnsi"/>
          <w:shd w:val="clear" w:color="auto" w:fill="FFFFFF"/>
        </w:rPr>
      </w:pPr>
      <w:r w:rsidRPr="003F082E">
        <w:rPr>
          <w:rFonts w:asciiTheme="minorHAnsi" w:hAnsiTheme="minorHAnsi" w:cstheme="minorHAnsi"/>
          <w:shd w:val="clear" w:color="auto" w:fill="FFFFFF"/>
        </w:rPr>
        <w:t>Next</w:t>
      </w:r>
      <w:r w:rsidR="00FA16B3">
        <w:rPr>
          <w:rFonts w:asciiTheme="minorHAnsi" w:hAnsiTheme="minorHAnsi" w:cstheme="minorHAnsi"/>
          <w:shd w:val="clear" w:color="auto" w:fill="FFFFFF"/>
        </w:rPr>
        <w:t>,</w:t>
      </w:r>
      <w:r w:rsidRPr="003F082E">
        <w:rPr>
          <w:rFonts w:asciiTheme="minorHAnsi" w:hAnsiTheme="minorHAnsi" w:cstheme="minorHAnsi"/>
          <w:shd w:val="clear" w:color="auto" w:fill="FFFFFF"/>
        </w:rPr>
        <w:t xml:space="preserve"> assume an energy escalation rate</w:t>
      </w:r>
      <w:r w:rsidR="00FA16B3">
        <w:rPr>
          <w:rFonts w:asciiTheme="minorHAnsi" w:hAnsiTheme="minorHAnsi" w:cstheme="minorHAnsi"/>
          <w:shd w:val="clear" w:color="auto" w:fill="FFFFFF"/>
        </w:rPr>
        <w:t xml:space="preserve"> expected over the next 20 years</w:t>
      </w:r>
      <w:r w:rsidRPr="003F082E">
        <w:rPr>
          <w:rFonts w:asciiTheme="minorHAnsi" w:hAnsiTheme="minorHAnsi" w:cstheme="minorHAnsi"/>
          <w:shd w:val="clear" w:color="auto" w:fill="FFFFFF"/>
        </w:rPr>
        <w:t>.   Th</w:t>
      </w:r>
      <w:r w:rsidR="00FA16B3">
        <w:rPr>
          <w:rFonts w:asciiTheme="minorHAnsi" w:hAnsiTheme="minorHAnsi" w:cstheme="minorHAnsi"/>
          <w:shd w:val="clear" w:color="auto" w:fill="FFFFFF"/>
        </w:rPr>
        <w:t xml:space="preserve">e escalation rate </w:t>
      </w:r>
      <w:r w:rsidRPr="003F082E">
        <w:rPr>
          <w:rFonts w:asciiTheme="minorHAnsi" w:hAnsiTheme="minorHAnsi" w:cstheme="minorHAnsi"/>
          <w:shd w:val="clear" w:color="auto" w:fill="FFFFFF"/>
        </w:rPr>
        <w:t xml:space="preserve">will determine the repayment schedule.  A higher </w:t>
      </w:r>
      <w:r w:rsidR="00FA16B3">
        <w:rPr>
          <w:rFonts w:asciiTheme="minorHAnsi" w:hAnsiTheme="minorHAnsi" w:cstheme="minorHAnsi"/>
          <w:shd w:val="clear" w:color="auto" w:fill="FFFFFF"/>
        </w:rPr>
        <w:t xml:space="preserve">repayment </w:t>
      </w:r>
      <w:r w:rsidRPr="003F082E">
        <w:rPr>
          <w:rFonts w:asciiTheme="minorHAnsi" w:hAnsiTheme="minorHAnsi" w:cstheme="minorHAnsi"/>
          <w:shd w:val="clear" w:color="auto" w:fill="FFFFFF"/>
        </w:rPr>
        <w:t xml:space="preserve">rate will pay off the loan sooner.  This energy escalation rate does not affect the </w:t>
      </w:r>
      <w:r w:rsidR="00FA16B3">
        <w:rPr>
          <w:rFonts w:asciiTheme="minorHAnsi" w:hAnsiTheme="minorHAnsi" w:cstheme="minorHAnsi"/>
          <w:shd w:val="clear" w:color="auto" w:fill="FFFFFF"/>
        </w:rPr>
        <w:t>initial</w:t>
      </w:r>
      <w:r w:rsidRPr="003F082E">
        <w:rPr>
          <w:rFonts w:asciiTheme="minorHAnsi" w:hAnsiTheme="minorHAnsi" w:cstheme="minorHAnsi"/>
          <w:shd w:val="clear" w:color="auto" w:fill="FFFFFF"/>
        </w:rPr>
        <w:t xml:space="preserve"> cost of the </w:t>
      </w:r>
      <w:r w:rsidR="00FA16B3">
        <w:rPr>
          <w:rFonts w:asciiTheme="minorHAnsi" w:hAnsiTheme="minorHAnsi" w:cstheme="minorHAnsi"/>
          <w:shd w:val="clear" w:color="auto" w:fill="FFFFFF"/>
        </w:rPr>
        <w:t xml:space="preserve">new </w:t>
      </w:r>
      <w:r w:rsidRPr="003F082E">
        <w:rPr>
          <w:rFonts w:asciiTheme="minorHAnsi" w:hAnsiTheme="minorHAnsi" w:cstheme="minorHAnsi"/>
          <w:shd w:val="clear" w:color="auto" w:fill="FFFFFF"/>
        </w:rPr>
        <w:t>energy system</w:t>
      </w:r>
      <w:r w:rsidR="00FA16B3">
        <w:rPr>
          <w:rFonts w:asciiTheme="minorHAnsi" w:hAnsiTheme="minorHAnsi" w:cstheme="minorHAnsi"/>
          <w:shd w:val="clear" w:color="auto" w:fill="FFFFFF"/>
        </w:rPr>
        <w:t>; it does affect the annual operating cost of the fossil fuel system</w:t>
      </w:r>
      <w:r w:rsidRPr="003F082E">
        <w:rPr>
          <w:rFonts w:asciiTheme="minorHAnsi" w:hAnsiTheme="minorHAnsi" w:cstheme="minorHAnsi"/>
          <w:shd w:val="clear" w:color="auto" w:fill="FFFFFF"/>
        </w:rPr>
        <w:t xml:space="preserve">.    </w:t>
      </w:r>
    </w:p>
    <w:p w:rsidR="003F082E" w:rsidRDefault="003F082E" w:rsidP="003F082E">
      <w:pPr>
        <w:pStyle w:val="ecxmsonormal"/>
        <w:rPr>
          <w:rFonts w:asciiTheme="minorHAnsi" w:hAnsiTheme="minorHAnsi" w:cstheme="minorHAnsi"/>
          <w:shd w:val="clear" w:color="auto" w:fill="FFFFFF"/>
        </w:rPr>
      </w:pPr>
      <w:r>
        <w:rPr>
          <w:rFonts w:asciiTheme="minorHAnsi" w:hAnsiTheme="minorHAnsi" w:cstheme="minorHAnsi"/>
          <w:shd w:val="clear" w:color="auto" w:fill="FFFFFF"/>
        </w:rPr>
        <w:t xml:space="preserve">Cell E18:   </w:t>
      </w:r>
      <w:r w:rsidR="007A435D">
        <w:rPr>
          <w:rFonts w:asciiTheme="minorHAnsi" w:hAnsiTheme="minorHAnsi" w:cstheme="minorHAnsi"/>
          <w:shd w:val="clear" w:color="auto" w:fill="FFFFFF"/>
        </w:rPr>
        <w:t xml:space="preserve">Assume 3% </w:t>
      </w:r>
      <w:r w:rsidR="00FA16B3">
        <w:rPr>
          <w:rFonts w:asciiTheme="minorHAnsi" w:hAnsiTheme="minorHAnsi" w:cstheme="minorHAnsi"/>
          <w:shd w:val="clear" w:color="auto" w:fill="FFFFFF"/>
        </w:rPr>
        <w:t xml:space="preserve">escalation </w:t>
      </w:r>
      <w:r w:rsidR="00F80EE7">
        <w:rPr>
          <w:rFonts w:asciiTheme="minorHAnsi" w:hAnsiTheme="minorHAnsi" w:cstheme="minorHAnsi"/>
          <w:shd w:val="clear" w:color="auto" w:fill="FFFFFF"/>
        </w:rPr>
        <w:t xml:space="preserve">represents what to expect in the future </w:t>
      </w:r>
      <w:r w:rsidR="007A435D">
        <w:rPr>
          <w:rFonts w:asciiTheme="minorHAnsi" w:hAnsiTheme="minorHAnsi" w:cstheme="minorHAnsi"/>
          <w:shd w:val="clear" w:color="auto" w:fill="FFFFFF"/>
        </w:rPr>
        <w:t>unless you have better historical data.</w:t>
      </w:r>
    </w:p>
    <w:p w:rsidR="007A435D" w:rsidRDefault="007A435D" w:rsidP="007A435D">
      <w:pPr>
        <w:pStyle w:val="ecxmsonormal"/>
        <w:rPr>
          <w:rFonts w:asciiTheme="minorHAnsi" w:hAnsiTheme="minorHAnsi" w:cstheme="minorHAnsi"/>
          <w:shd w:val="clear" w:color="auto" w:fill="FFFFFF"/>
        </w:rPr>
      </w:pPr>
      <w:r w:rsidRPr="003F082E">
        <w:rPr>
          <w:rFonts w:asciiTheme="minorHAnsi" w:hAnsiTheme="minorHAnsi" w:cstheme="minorHAnsi"/>
          <w:shd w:val="clear" w:color="auto" w:fill="FFFFFF"/>
        </w:rPr>
        <w:t xml:space="preserve">  </w:t>
      </w:r>
      <w:r>
        <w:rPr>
          <w:rFonts w:asciiTheme="minorHAnsi" w:hAnsiTheme="minorHAnsi" w:cstheme="minorHAnsi"/>
          <w:shd w:val="clear" w:color="auto" w:fill="FFFFFF"/>
        </w:rPr>
        <w:t>In this case, the maximum loan amount that can be serviced with the existing utility budget is around $2</w:t>
      </w:r>
      <w:r w:rsidR="00DB4769">
        <w:rPr>
          <w:rFonts w:asciiTheme="minorHAnsi" w:hAnsiTheme="minorHAnsi" w:cstheme="minorHAnsi"/>
          <w:shd w:val="clear" w:color="auto" w:fill="FFFFFF"/>
        </w:rPr>
        <w:t>35</w:t>
      </w:r>
      <w:r>
        <w:rPr>
          <w:rFonts w:asciiTheme="minorHAnsi" w:hAnsiTheme="minorHAnsi" w:cstheme="minorHAnsi"/>
          <w:shd w:val="clear" w:color="auto" w:fill="FFFFFF"/>
        </w:rPr>
        <w:t xml:space="preserve">,000 as indicated in the </w:t>
      </w:r>
      <w:r w:rsidRPr="007A435D">
        <w:t xml:space="preserve">green </w:t>
      </w:r>
      <w:r>
        <w:rPr>
          <w:rFonts w:asciiTheme="minorHAnsi" w:hAnsiTheme="minorHAnsi" w:cstheme="minorHAnsi"/>
          <w:shd w:val="clear" w:color="auto" w:fill="FFFFFF"/>
        </w:rPr>
        <w:t>Cell D12.      The remainder of the capital that will have to be raised by grants and donations is $1</w:t>
      </w:r>
      <w:r w:rsidR="00DB4769">
        <w:rPr>
          <w:rFonts w:asciiTheme="minorHAnsi" w:hAnsiTheme="minorHAnsi" w:cstheme="minorHAnsi"/>
          <w:shd w:val="clear" w:color="auto" w:fill="FFFFFF"/>
        </w:rPr>
        <w:t>96</w:t>
      </w:r>
      <w:r>
        <w:rPr>
          <w:rFonts w:asciiTheme="minorHAnsi" w:hAnsiTheme="minorHAnsi" w:cstheme="minorHAnsi"/>
          <w:shd w:val="clear" w:color="auto" w:fill="FFFFFF"/>
        </w:rPr>
        <w:t xml:space="preserve">,000 as </w:t>
      </w:r>
      <w:r w:rsidR="00FA16B3">
        <w:rPr>
          <w:rFonts w:asciiTheme="minorHAnsi" w:hAnsiTheme="minorHAnsi" w:cstheme="minorHAnsi"/>
          <w:shd w:val="clear" w:color="auto" w:fill="FFFFFF"/>
        </w:rPr>
        <w:t>shown</w:t>
      </w:r>
      <w:r>
        <w:rPr>
          <w:rFonts w:asciiTheme="minorHAnsi" w:hAnsiTheme="minorHAnsi" w:cstheme="minorHAnsi"/>
          <w:shd w:val="clear" w:color="auto" w:fill="FFFFFF"/>
        </w:rPr>
        <w:t xml:space="preserve"> in the yellow Cell D13.   </w:t>
      </w:r>
    </w:p>
    <w:p w:rsidR="00842057" w:rsidRDefault="007A435D" w:rsidP="007A435D">
      <w:pPr>
        <w:pStyle w:val="ecxmsonormal"/>
        <w:rPr>
          <w:rFonts w:asciiTheme="minorHAnsi" w:hAnsiTheme="minorHAnsi" w:cstheme="minorHAnsi"/>
          <w:shd w:val="clear" w:color="auto" w:fill="FFFFFF"/>
        </w:rPr>
      </w:pPr>
      <w:r>
        <w:rPr>
          <w:rFonts w:asciiTheme="minorHAnsi" w:hAnsiTheme="minorHAnsi" w:cstheme="minorHAnsi"/>
          <w:shd w:val="clear" w:color="auto" w:fill="FFFFFF"/>
        </w:rPr>
        <w:t>First Universalist was able to raise $200,000 in donations and could have raised $300,000 in low</w:t>
      </w:r>
      <w:r w:rsidR="00FA16B3">
        <w:rPr>
          <w:rFonts w:asciiTheme="minorHAnsi" w:hAnsiTheme="minorHAnsi" w:cstheme="minorHAnsi"/>
          <w:shd w:val="clear" w:color="auto" w:fill="FFFFFF"/>
        </w:rPr>
        <w:t>-</w:t>
      </w:r>
      <w:r>
        <w:rPr>
          <w:rFonts w:asciiTheme="minorHAnsi" w:hAnsiTheme="minorHAnsi" w:cstheme="minorHAnsi"/>
          <w:shd w:val="clear" w:color="auto" w:fill="FFFFFF"/>
        </w:rPr>
        <w:t xml:space="preserve">interest loans but </w:t>
      </w:r>
      <w:r w:rsidR="00FA16B3">
        <w:rPr>
          <w:rFonts w:asciiTheme="minorHAnsi" w:hAnsiTheme="minorHAnsi" w:cstheme="minorHAnsi"/>
          <w:shd w:val="clear" w:color="auto" w:fill="FFFFFF"/>
        </w:rPr>
        <w:t xml:space="preserve">was limited </w:t>
      </w:r>
      <w:r>
        <w:rPr>
          <w:rFonts w:asciiTheme="minorHAnsi" w:hAnsiTheme="minorHAnsi" w:cstheme="minorHAnsi"/>
          <w:shd w:val="clear" w:color="auto" w:fill="FFFFFF"/>
        </w:rPr>
        <w:t>to us</w:t>
      </w:r>
      <w:r w:rsidR="00FA16B3">
        <w:rPr>
          <w:rFonts w:asciiTheme="minorHAnsi" w:hAnsiTheme="minorHAnsi" w:cstheme="minorHAnsi"/>
          <w:shd w:val="clear" w:color="auto" w:fill="FFFFFF"/>
        </w:rPr>
        <w:t xml:space="preserve">ing only </w:t>
      </w:r>
      <w:r>
        <w:rPr>
          <w:rFonts w:asciiTheme="minorHAnsi" w:hAnsiTheme="minorHAnsi" w:cstheme="minorHAnsi"/>
          <w:shd w:val="clear" w:color="auto" w:fill="FFFFFF"/>
        </w:rPr>
        <w:t>$235,000 by the Board of Trustees.</w:t>
      </w:r>
    </w:p>
    <w:p w:rsidR="00D750A5" w:rsidRDefault="00D750A5" w:rsidP="007A435D">
      <w:pPr>
        <w:pStyle w:val="ecxmsonormal"/>
        <w:rPr>
          <w:rFonts w:asciiTheme="minorHAnsi" w:hAnsiTheme="minorHAnsi" w:cstheme="minorHAnsi"/>
          <w:shd w:val="clear" w:color="auto" w:fill="FFFFFF"/>
        </w:rPr>
      </w:pPr>
    </w:p>
    <w:p w:rsidR="009A0331" w:rsidRPr="00D750A5" w:rsidRDefault="00D750A5" w:rsidP="00D750A5">
      <w:pPr>
        <w:pStyle w:val="Heading2"/>
        <w:rPr>
          <w:rFonts w:cstheme="minorHAnsi"/>
          <w:shd w:val="clear" w:color="auto" w:fill="FFFFFF"/>
        </w:rPr>
      </w:pPr>
      <w:r>
        <w:rPr>
          <w:shd w:val="clear" w:color="auto" w:fill="FFFFFF"/>
        </w:rPr>
        <w:lastRenderedPageBreak/>
        <w:t>Discussion of Results</w:t>
      </w:r>
    </w:p>
    <w:p w:rsidR="00842057" w:rsidRDefault="00842057" w:rsidP="00D10067">
      <w:pPr>
        <w:pStyle w:val="ecxmsonormal"/>
        <w:rPr>
          <w:shd w:val="clear" w:color="auto" w:fill="FFFFFF"/>
        </w:rPr>
      </w:pPr>
      <w:r>
        <w:rPr>
          <w:noProof/>
        </w:rPr>
        <w:drawing>
          <wp:inline distT="0" distB="0" distL="0" distR="0" wp14:anchorId="46242637" wp14:editId="73DAEAE9">
            <wp:extent cx="6399693" cy="542441"/>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1657" r="47187" b="70778"/>
                    <a:stretch/>
                  </pic:blipFill>
                  <pic:spPr bwMode="auto">
                    <a:xfrm>
                      <a:off x="0" y="0"/>
                      <a:ext cx="6400800" cy="542535"/>
                    </a:xfrm>
                    <a:prstGeom prst="rect">
                      <a:avLst/>
                    </a:prstGeom>
                    <a:ln>
                      <a:noFill/>
                    </a:ln>
                    <a:extLst>
                      <a:ext uri="{53640926-AAD7-44D8-BBD7-CCE9431645EC}">
                        <a14:shadowObscured xmlns:a14="http://schemas.microsoft.com/office/drawing/2010/main"/>
                      </a:ext>
                    </a:extLst>
                  </pic:spPr>
                </pic:pic>
              </a:graphicData>
            </a:graphic>
          </wp:inline>
        </w:drawing>
      </w:r>
    </w:p>
    <w:p w:rsidR="00394D52" w:rsidRDefault="009A0331" w:rsidP="00D10067">
      <w:pPr>
        <w:pStyle w:val="ecxmsonormal"/>
        <w:rPr>
          <w:shd w:val="clear" w:color="auto" w:fill="FFFFFF"/>
        </w:rPr>
      </w:pPr>
      <w:r>
        <w:rPr>
          <w:noProof/>
        </w:rPr>
        <w:drawing>
          <wp:inline distT="0" distB="0" distL="0" distR="0" wp14:anchorId="6DB954AC" wp14:editId="79F23434">
            <wp:extent cx="6400165" cy="3151354"/>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6" t="45091" r="46120" b="10507"/>
                    <a:stretch/>
                  </pic:blipFill>
                  <pic:spPr bwMode="auto">
                    <a:xfrm>
                      <a:off x="0" y="0"/>
                      <a:ext cx="6400800" cy="3151667"/>
                    </a:xfrm>
                    <a:prstGeom prst="rect">
                      <a:avLst/>
                    </a:prstGeom>
                    <a:ln>
                      <a:noFill/>
                    </a:ln>
                    <a:extLst>
                      <a:ext uri="{53640926-AAD7-44D8-BBD7-CCE9431645EC}">
                        <a14:shadowObscured xmlns:a14="http://schemas.microsoft.com/office/drawing/2010/main"/>
                      </a:ext>
                    </a:extLst>
                  </pic:spPr>
                </pic:pic>
              </a:graphicData>
            </a:graphic>
          </wp:inline>
        </w:drawing>
      </w:r>
    </w:p>
    <w:p w:rsidR="00FA16B3" w:rsidRDefault="00FA16B3" w:rsidP="00D10067">
      <w:pPr>
        <w:pStyle w:val="ecxmsonormal"/>
        <w:rPr>
          <w:rFonts w:asciiTheme="minorHAnsi" w:hAnsiTheme="minorHAnsi" w:cstheme="minorHAnsi"/>
          <w:shd w:val="clear" w:color="auto" w:fill="FFFFFF"/>
        </w:rPr>
      </w:pPr>
      <w:r w:rsidRPr="00FA16B3">
        <w:rPr>
          <w:rFonts w:asciiTheme="minorHAnsi" w:hAnsiTheme="minorHAnsi" w:cstheme="minorHAnsi"/>
          <w:shd w:val="clear" w:color="auto" w:fill="FFFFFF"/>
        </w:rPr>
        <w:t xml:space="preserve">Rows 21 through 40  provide the 20-year cash flow information.    Column C indicated in red, defines the expected annual expenses using the existing fossil fuel-based energy system.   At the end of 20 years, the church </w:t>
      </w:r>
      <w:r w:rsidR="00DB4769">
        <w:rPr>
          <w:rFonts w:asciiTheme="minorHAnsi" w:hAnsiTheme="minorHAnsi" w:cstheme="minorHAnsi"/>
          <w:shd w:val="clear" w:color="auto" w:fill="FFFFFF"/>
        </w:rPr>
        <w:t>was</w:t>
      </w:r>
      <w:r w:rsidRPr="00FA16B3">
        <w:rPr>
          <w:rFonts w:asciiTheme="minorHAnsi" w:hAnsiTheme="minorHAnsi" w:cstheme="minorHAnsi"/>
          <w:shd w:val="clear" w:color="auto" w:fill="FFFFFF"/>
        </w:rPr>
        <w:t xml:space="preserve"> expect</w:t>
      </w:r>
      <w:r w:rsidR="00DB4769">
        <w:rPr>
          <w:rFonts w:asciiTheme="minorHAnsi" w:hAnsiTheme="minorHAnsi" w:cstheme="minorHAnsi"/>
          <w:shd w:val="clear" w:color="auto" w:fill="FFFFFF"/>
        </w:rPr>
        <w:t>ing</w:t>
      </w:r>
      <w:r w:rsidRPr="00FA16B3">
        <w:rPr>
          <w:rFonts w:asciiTheme="minorHAnsi" w:hAnsiTheme="minorHAnsi" w:cstheme="minorHAnsi"/>
          <w:shd w:val="clear" w:color="auto" w:fill="FFFFFF"/>
        </w:rPr>
        <w:t xml:space="preserve"> to have a stack of paid utility bills totaling $</w:t>
      </w:r>
      <w:r w:rsidR="009A0331">
        <w:rPr>
          <w:rFonts w:asciiTheme="minorHAnsi" w:hAnsiTheme="minorHAnsi" w:cstheme="minorHAnsi"/>
          <w:shd w:val="clear" w:color="auto" w:fill="FFFFFF"/>
        </w:rPr>
        <w:t>485,192</w:t>
      </w:r>
      <w:r w:rsidR="00D750A5">
        <w:rPr>
          <w:rFonts w:asciiTheme="minorHAnsi" w:hAnsiTheme="minorHAnsi" w:cstheme="minorHAnsi"/>
          <w:shd w:val="clear" w:color="auto" w:fill="FFFFFF"/>
        </w:rPr>
        <w:t xml:space="preserve"> if it continue</w:t>
      </w:r>
      <w:r w:rsidR="00DB4769">
        <w:rPr>
          <w:rFonts w:asciiTheme="minorHAnsi" w:hAnsiTheme="minorHAnsi" w:cstheme="minorHAnsi"/>
          <w:shd w:val="clear" w:color="auto" w:fill="FFFFFF"/>
        </w:rPr>
        <w:t>d</w:t>
      </w:r>
      <w:r w:rsidR="00D750A5">
        <w:rPr>
          <w:rFonts w:asciiTheme="minorHAnsi" w:hAnsiTheme="minorHAnsi" w:cstheme="minorHAnsi"/>
          <w:shd w:val="clear" w:color="auto" w:fill="FFFFFF"/>
        </w:rPr>
        <w:t xml:space="preserve"> to burn fossil fuel as an energy source</w:t>
      </w:r>
      <w:r w:rsidRPr="00FA16B3">
        <w:rPr>
          <w:rFonts w:asciiTheme="minorHAnsi" w:hAnsiTheme="minorHAnsi" w:cstheme="minorHAnsi"/>
          <w:shd w:val="clear" w:color="auto" w:fill="FFFFFF"/>
        </w:rPr>
        <w:t xml:space="preserve">.  </w:t>
      </w:r>
    </w:p>
    <w:p w:rsidR="00A24E08" w:rsidRDefault="00D750A5" w:rsidP="00D10067">
      <w:pPr>
        <w:pStyle w:val="ecxmsonormal"/>
        <w:rPr>
          <w:rFonts w:asciiTheme="minorHAnsi" w:hAnsiTheme="minorHAnsi" w:cstheme="minorHAnsi"/>
          <w:shd w:val="clear" w:color="auto" w:fill="FFFFFF"/>
        </w:rPr>
      </w:pPr>
      <w:r>
        <w:rPr>
          <w:rFonts w:ascii="Tempus Sans ITC" w:hAnsi="Tempus Sans ITC"/>
          <w:b/>
          <w:bCs/>
          <w:noProof/>
          <w:color w:val="1F4E79" w:themeColor="accent1" w:themeShade="80"/>
          <w:kern w:val="36"/>
          <w:sz w:val="32"/>
          <w:szCs w:val="28"/>
        </w:rPr>
        <w:drawing>
          <wp:anchor distT="0" distB="0" distL="114300" distR="114300" simplePos="0" relativeHeight="251658240" behindDoc="0" locked="0" layoutInCell="1" allowOverlap="1">
            <wp:simplePos x="0" y="0"/>
            <wp:positionH relativeFrom="column">
              <wp:posOffset>103968</wp:posOffset>
            </wp:positionH>
            <wp:positionV relativeFrom="paragraph">
              <wp:posOffset>330394</wp:posOffset>
            </wp:positionV>
            <wp:extent cx="4153545" cy="24006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ashFlow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53545" cy="2400650"/>
                    </a:xfrm>
                    <a:prstGeom prst="rect">
                      <a:avLst/>
                    </a:prstGeom>
                  </pic:spPr>
                </pic:pic>
              </a:graphicData>
            </a:graphic>
          </wp:anchor>
        </w:drawing>
      </w:r>
      <w:r w:rsidR="00FA16B3">
        <w:rPr>
          <w:rFonts w:asciiTheme="minorHAnsi" w:hAnsiTheme="minorHAnsi" w:cstheme="minorHAnsi"/>
          <w:shd w:val="clear" w:color="auto" w:fill="FFFFFF"/>
        </w:rPr>
        <w:t xml:space="preserve">Column G </w:t>
      </w:r>
      <w:r w:rsidR="003804FB">
        <w:rPr>
          <w:rFonts w:asciiTheme="minorHAnsi" w:hAnsiTheme="minorHAnsi" w:cstheme="minorHAnsi"/>
          <w:shd w:val="clear" w:color="auto" w:fill="FFFFFF"/>
        </w:rPr>
        <w:t>(</w:t>
      </w:r>
      <w:r w:rsidR="00FA16B3">
        <w:rPr>
          <w:rFonts w:asciiTheme="minorHAnsi" w:hAnsiTheme="minorHAnsi" w:cstheme="minorHAnsi"/>
          <w:shd w:val="clear" w:color="auto" w:fill="FFFFFF"/>
        </w:rPr>
        <w:t>indicated in green</w:t>
      </w:r>
      <w:r w:rsidR="003804FB">
        <w:rPr>
          <w:rFonts w:asciiTheme="minorHAnsi" w:hAnsiTheme="minorHAnsi" w:cstheme="minorHAnsi"/>
          <w:shd w:val="clear" w:color="auto" w:fill="FFFFFF"/>
        </w:rPr>
        <w:t>)</w:t>
      </w:r>
      <w:r w:rsidR="00FA16B3">
        <w:rPr>
          <w:rFonts w:asciiTheme="minorHAnsi" w:hAnsiTheme="minorHAnsi" w:cstheme="minorHAnsi"/>
          <w:shd w:val="clear" w:color="auto" w:fill="FFFFFF"/>
        </w:rPr>
        <w:t xml:space="preserve"> defines the utility bill</w:t>
      </w:r>
      <w:r w:rsidR="00DB4769">
        <w:rPr>
          <w:rFonts w:asciiTheme="minorHAnsi" w:hAnsiTheme="minorHAnsi" w:cstheme="minorHAnsi"/>
          <w:shd w:val="clear" w:color="auto" w:fill="FFFFFF"/>
        </w:rPr>
        <w:t xml:space="preserve"> with a new sustainable energy system</w:t>
      </w:r>
      <w:r w:rsidR="009A0331">
        <w:rPr>
          <w:rFonts w:asciiTheme="minorHAnsi" w:hAnsiTheme="minorHAnsi" w:cstheme="minorHAnsi"/>
          <w:shd w:val="clear" w:color="auto" w:fill="FFFFFF"/>
        </w:rPr>
        <w:t>.   In this example, the new utilit</w:t>
      </w:r>
      <w:r w:rsidR="003804FB">
        <w:rPr>
          <w:rFonts w:asciiTheme="minorHAnsi" w:hAnsiTheme="minorHAnsi" w:cstheme="minorHAnsi"/>
          <w:shd w:val="clear" w:color="auto" w:fill="FFFFFF"/>
        </w:rPr>
        <w:t>y</w:t>
      </w:r>
      <w:r w:rsidR="009A0331">
        <w:rPr>
          <w:rFonts w:asciiTheme="minorHAnsi" w:hAnsiTheme="minorHAnsi" w:cstheme="minorHAnsi"/>
          <w:shd w:val="clear" w:color="auto" w:fill="FFFFFF"/>
        </w:rPr>
        <w:t xml:space="preserve"> bill </w:t>
      </w:r>
      <w:r w:rsidR="003804FB">
        <w:rPr>
          <w:rFonts w:asciiTheme="minorHAnsi" w:hAnsiTheme="minorHAnsi" w:cstheme="minorHAnsi"/>
          <w:shd w:val="clear" w:color="auto" w:fill="FFFFFF"/>
        </w:rPr>
        <w:t>is</w:t>
      </w:r>
      <w:r w:rsidR="009A0331">
        <w:rPr>
          <w:rFonts w:asciiTheme="minorHAnsi" w:hAnsiTheme="minorHAnsi" w:cstheme="minorHAnsi"/>
          <w:shd w:val="clear" w:color="auto" w:fill="FFFFFF"/>
        </w:rPr>
        <w:t xml:space="preserve"> LESS tha</w:t>
      </w:r>
      <w:r w:rsidR="00DB4769">
        <w:rPr>
          <w:rFonts w:asciiTheme="minorHAnsi" w:hAnsiTheme="minorHAnsi" w:cstheme="minorHAnsi"/>
          <w:shd w:val="clear" w:color="auto" w:fill="FFFFFF"/>
        </w:rPr>
        <w:t>n the fossil fuel system</w:t>
      </w:r>
      <w:r w:rsidR="009A0331">
        <w:rPr>
          <w:rFonts w:asciiTheme="minorHAnsi" w:hAnsiTheme="minorHAnsi" w:cstheme="minorHAnsi"/>
          <w:shd w:val="clear" w:color="auto" w:fill="FFFFFF"/>
        </w:rPr>
        <w:t xml:space="preserve"> (except the first year)</w:t>
      </w:r>
      <w:r w:rsidR="003804FB">
        <w:rPr>
          <w:rFonts w:asciiTheme="minorHAnsi" w:hAnsiTheme="minorHAnsi" w:cstheme="minorHAnsi"/>
          <w:shd w:val="clear" w:color="auto" w:fill="FFFFFF"/>
        </w:rPr>
        <w:t>.  After 20 years, the church outlay is $290,651</w:t>
      </w:r>
      <w:r>
        <w:rPr>
          <w:rFonts w:asciiTheme="minorHAnsi" w:hAnsiTheme="minorHAnsi" w:cstheme="minorHAnsi"/>
          <w:shd w:val="clear" w:color="auto" w:fill="FFFFFF"/>
        </w:rPr>
        <w:t xml:space="preserve">  (G41)</w:t>
      </w:r>
      <w:r w:rsidR="003804FB">
        <w:rPr>
          <w:rFonts w:asciiTheme="minorHAnsi" w:hAnsiTheme="minorHAnsi" w:cstheme="minorHAnsi"/>
          <w:shd w:val="clear" w:color="auto" w:fill="FFFFFF"/>
        </w:rPr>
        <w:t xml:space="preserve">.   </w:t>
      </w:r>
      <w:r w:rsidR="00A24E08">
        <w:rPr>
          <w:rFonts w:asciiTheme="minorHAnsi" w:hAnsiTheme="minorHAnsi" w:cstheme="minorHAnsi"/>
          <w:shd w:val="clear" w:color="auto" w:fill="FFFFFF"/>
        </w:rPr>
        <w:t xml:space="preserve">Notice also that after 15 years, the “utility expenses” drop to less than $2000 </w:t>
      </w:r>
      <w:r>
        <w:rPr>
          <w:rFonts w:asciiTheme="minorHAnsi" w:hAnsiTheme="minorHAnsi" w:cstheme="minorHAnsi"/>
          <w:shd w:val="clear" w:color="auto" w:fill="FFFFFF"/>
        </w:rPr>
        <w:t xml:space="preserve">(G36) </w:t>
      </w:r>
      <w:r w:rsidR="00A24E08">
        <w:rPr>
          <w:rFonts w:asciiTheme="minorHAnsi" w:hAnsiTheme="minorHAnsi" w:cstheme="minorHAnsi"/>
          <w:shd w:val="clear" w:color="auto" w:fill="FFFFFF"/>
        </w:rPr>
        <w:t xml:space="preserve">because the loans will be paid off by then.  </w:t>
      </w:r>
    </w:p>
    <w:p w:rsidR="00A24E08" w:rsidRDefault="003804FB" w:rsidP="00D10067">
      <w:pPr>
        <w:pStyle w:val="ecxmsonormal"/>
        <w:rPr>
          <w:rFonts w:asciiTheme="minorHAnsi" w:hAnsiTheme="minorHAnsi" w:cstheme="minorHAnsi"/>
          <w:shd w:val="clear" w:color="auto" w:fill="FFFFFF"/>
        </w:rPr>
      </w:pPr>
      <w:r>
        <w:rPr>
          <w:rFonts w:asciiTheme="minorHAnsi" w:hAnsiTheme="minorHAnsi" w:cstheme="minorHAnsi"/>
          <w:shd w:val="clear" w:color="auto" w:fill="FFFFFF"/>
        </w:rPr>
        <w:t>As indicated, a sustainable renewable energy system is expected to provide a financial gain of nearly $195,000.</w:t>
      </w:r>
      <w:r w:rsidR="00D750A5">
        <w:rPr>
          <w:rFonts w:asciiTheme="minorHAnsi" w:hAnsiTheme="minorHAnsi" w:cstheme="minorHAnsi"/>
          <w:shd w:val="clear" w:color="auto" w:fill="FFFFFF"/>
        </w:rPr>
        <w:t>(I41)</w:t>
      </w:r>
      <w:r w:rsidR="00A24E08">
        <w:rPr>
          <w:rFonts w:asciiTheme="minorHAnsi" w:hAnsiTheme="minorHAnsi" w:cstheme="minorHAnsi"/>
          <w:shd w:val="clear" w:color="auto" w:fill="FFFFFF"/>
        </w:rPr>
        <w:t xml:space="preserve">   </w:t>
      </w:r>
    </w:p>
    <w:p w:rsidR="00394D52" w:rsidRPr="00FA16B3" w:rsidRDefault="00394D52" w:rsidP="00D10067">
      <w:pPr>
        <w:pStyle w:val="ecxmsonormal"/>
        <w:rPr>
          <w:rFonts w:ascii="Tempus Sans ITC" w:hAnsi="Tempus Sans ITC"/>
          <w:b/>
          <w:bCs/>
          <w:color w:val="1F4E79" w:themeColor="accent1" w:themeShade="80"/>
          <w:kern w:val="36"/>
          <w:sz w:val="32"/>
          <w:szCs w:val="28"/>
        </w:rPr>
        <w:sectPr w:rsidR="00394D52" w:rsidRPr="00FA16B3" w:rsidSect="005B622E">
          <w:footerReference w:type="default" r:id="rId16"/>
          <w:endnotePr>
            <w:numFmt w:val="decimal"/>
          </w:endnotePr>
          <w:type w:val="continuous"/>
          <w:pgSz w:w="12240" w:h="15840"/>
          <w:pgMar w:top="1440" w:right="1080" w:bottom="810" w:left="1080" w:header="540" w:footer="0" w:gutter="0"/>
          <w:cols w:space="720"/>
          <w:docGrid w:linePitch="360"/>
        </w:sectPr>
      </w:pPr>
    </w:p>
    <w:p w:rsidR="006A4E2E" w:rsidRDefault="006A4E2E" w:rsidP="00D10067">
      <w:pPr>
        <w:pStyle w:val="Heading1"/>
      </w:pPr>
      <w:bookmarkStart w:id="4" w:name="_Toc5818674"/>
      <w:r>
        <w:lastRenderedPageBreak/>
        <w:t>Appendix A But What about Energy Storage?</w:t>
      </w:r>
      <w:bookmarkEnd w:id="4"/>
    </w:p>
    <w:p w:rsidR="006A4E2E" w:rsidRDefault="006A4E2E" w:rsidP="00D10067">
      <w:r>
        <w:t>Because of the nature of solar PV, the amount of energy available varies over a day and the course of a year.   There are 2 million documented species alive today that have evolved to accommodate these seemingly “inconvenient” ground rules of life.    Humans still have a lot to learn from their distant cousins (the non-human living systems) that co-habit our planet.   Our autotroph cousins that look directly to Sun for the energy they need to live (e.g.</w:t>
      </w:r>
      <w:r w:rsidR="00FA16B3">
        <w:t>,</w:t>
      </w:r>
      <w:r>
        <w:t xml:space="preserve"> a tree) harvest sunlight during the day, store some energy for growth during the night and in the winter when there is less sunlight available.    The Tesla Corporation (and SolarCity a close associate) announced earlier in the year that they planned to provide a new product for homeowners – an affordable electrical energy storage system that fits in a garage.    This battery pack uses the lithium battery technology developed for electric cars and repackages the cells to fit along the wall of a typical garage.     A 7kWh battery was priced at $3000 and a 10 kWh battery at $3500.   </w:t>
      </w:r>
      <w:r w:rsidR="005C3456">
        <w:t>P</w:t>
      </w:r>
      <w:r w:rsidR="00CD3F7F">
        <w:t>o</w:t>
      </w:r>
      <w:r w:rsidR="005C3456">
        <w:t>werWall 2 stores 13.5 kWh and costs $6-7000.</w:t>
      </w:r>
      <w:r>
        <w:t xml:space="preserve">    </w:t>
      </w:r>
    </w:p>
    <w:p w:rsidR="006A4E2E" w:rsidRDefault="006A4E2E" w:rsidP="00D10067">
      <w:r>
        <w:t xml:space="preserve">Energy storage for power generated from wind and solar is a challenging but not insurmountable problem.  There are several dozen “Storage Solutions” currently being evaluated.  The U.S. Department is </w:t>
      </w:r>
      <w:r w:rsidR="00FA16B3">
        <w:t>researching</w:t>
      </w:r>
      <w:r>
        <w:t xml:space="preserve"> a half dozen promising solutions.   Wikipedia lists a broader range of Energy Storage possibilities.   NREL and Germany have developed and are testing prototype hydrogen fuel-cell powered electric cars.    Pumping water uphill to storage reservoirs, compressing gas and using excess electricity to electrolyze water and generate hydrogen for long term storage are just a few of the current Energy Storage options being evaluated seriously.  Australia has started marketing a “flow battery” alternative to Lithium Ion batteries.   So it is an exciting future for folks who like to solve problem</w:t>
      </w:r>
      <w:r w:rsidR="00FA16B3">
        <w:t>s</w:t>
      </w:r>
      <w:r>
        <w:t>.   Learning to live sustainabl</w:t>
      </w:r>
      <w:r w:rsidR="00FA16B3">
        <w:t>y</w:t>
      </w:r>
      <w:r>
        <w:t xml:space="preserve"> is </w:t>
      </w:r>
      <w:r w:rsidR="00FA16B3">
        <w:t xml:space="preserve">a </w:t>
      </w:r>
      <w:r>
        <w:t xml:space="preserve">solvable problem.               </w:t>
      </w:r>
    </w:p>
    <w:p w:rsidR="00B95260" w:rsidRDefault="00B95260" w:rsidP="00D10067"/>
    <w:p w:rsidR="00B95260" w:rsidRPr="00C83F4C" w:rsidRDefault="00B95260" w:rsidP="00D10067">
      <w:pPr>
        <w:pStyle w:val="Heading1"/>
      </w:pPr>
      <w:bookmarkStart w:id="5" w:name="_Toc5818675"/>
      <w:r>
        <w:rPr>
          <w:sz w:val="24"/>
          <w:szCs w:val="24"/>
        </w:rPr>
        <w:t xml:space="preserve">Appendix B   </w:t>
      </w:r>
      <w:r w:rsidRPr="00C83F4C">
        <w:t>How Geothermal Heat Pumps Work</w:t>
      </w:r>
      <w:bookmarkEnd w:id="5"/>
      <w:r w:rsidRPr="00C83F4C">
        <w:t xml:space="preserve"> </w:t>
      </w:r>
    </w:p>
    <w:p w:rsidR="00B95260" w:rsidRDefault="00B95260" w:rsidP="00D10067">
      <w:r w:rsidRPr="00C83F4C">
        <w:t>Using a heat exchanger, a geothermal heat pump can move heat from one space to another.</w:t>
      </w:r>
      <w:r>
        <w:t xml:space="preserve"> </w:t>
      </w:r>
      <w:r w:rsidRPr="00C83F4C">
        <w:t xml:space="preserve"> In summer, the geothermal heat pump extracts heat from a building and transfers it to the ground for cooling. </w:t>
      </w:r>
      <w:r>
        <w:t xml:space="preserve"> </w:t>
      </w:r>
      <w:r w:rsidRPr="00C83F4C">
        <w:t xml:space="preserve">In winter, the geothermal heat pump takes natural heat from the ground </w:t>
      </w:r>
      <w:r w:rsidR="00FA16B3">
        <w:t xml:space="preserve">beneath the north parking lot </w:t>
      </w:r>
      <w:r w:rsidRPr="00C83F4C">
        <w:t xml:space="preserve">and transfers it </w:t>
      </w:r>
      <w:r w:rsidR="00FA16B3">
        <w:t>in</w:t>
      </w:r>
      <w:r w:rsidRPr="00C83F4C">
        <w:t xml:space="preserve">to the building for heating. </w:t>
      </w:r>
      <w:r>
        <w:t xml:space="preserve">  Although heat pump options vary somewhat, typically one unit of energy (electrical) can exchange 3-5 units of thermal energy between the Earth and a </w:t>
      </w:r>
      <w:r w:rsidR="00FA16B3">
        <w:t xml:space="preserve">building. </w:t>
      </w:r>
      <w:r>
        <w:t xml:space="preserve">  Although the homeowner buys or provides the 1 unit of power from rooftop solar, the owner is not charged for the 3-5 units of thermal energy transferred from the house in the summer to cool it or the 3-5 units of ground heat into the house to warm it.    </w:t>
      </w:r>
    </w:p>
    <w:p w:rsidR="00B95260" w:rsidRPr="00C83F4C" w:rsidRDefault="00B95260" w:rsidP="00D10067">
      <w:r>
        <w:lastRenderedPageBreak/>
        <w:t xml:space="preserve">Although the technology is as old as refrigerators, ground source heat pumps have not thrived, because our current broken economic system riddled with externalities indicates sustainable geothermal heat pumps are more expensive than unsustainable fossil fuel burning furnaces.     </w:t>
      </w:r>
    </w:p>
    <w:p w:rsidR="00B95260" w:rsidRPr="00C83F4C" w:rsidRDefault="00B95260" w:rsidP="00D10067">
      <w:pPr>
        <w:rPr>
          <w:b/>
        </w:rPr>
      </w:pPr>
      <w:r w:rsidRPr="00C83F4C">
        <w:t xml:space="preserve">Installing a geothermal heat pump system can be the most cost-effective and energy efficient home heating and cooling option. </w:t>
      </w:r>
      <w:r>
        <w:t xml:space="preserve"> </w:t>
      </w:r>
      <w:r w:rsidRPr="00C83F4C">
        <w:t>Geothermal heat pumps are a particularly good option if you are building a new home or planning a major renovation to an existing home by re-placing, for example, an HVAC system.</w:t>
      </w:r>
      <w:r>
        <w:t xml:space="preserve">    For more </w:t>
      </w:r>
      <w:r w:rsidRPr="00C83F4C">
        <w:t xml:space="preserve">information please see the following resources:  </w:t>
      </w:r>
      <w:r>
        <w:br/>
      </w:r>
      <w:r>
        <w:rPr>
          <w:b/>
        </w:rPr>
        <w:t xml:space="preserve">         </w:t>
      </w:r>
      <w:r w:rsidRPr="00C83F4C">
        <w:rPr>
          <w:b/>
        </w:rPr>
        <w:t>DOE Energy Savers: Geothermal Heat Pumps</w:t>
      </w:r>
      <w:r>
        <w:rPr>
          <w:b/>
        </w:rPr>
        <w:t xml:space="preserve">,   </w:t>
      </w:r>
      <w:r w:rsidRPr="00C83F4C">
        <w:rPr>
          <w:b/>
        </w:rPr>
        <w:t xml:space="preserve"> www.energysavers.gov/ geothermal_heat_pumps </w:t>
      </w:r>
      <w:r w:rsidRPr="00C83F4C">
        <w:rPr>
          <w:b/>
        </w:rPr>
        <w:br/>
      </w:r>
      <w:r>
        <w:rPr>
          <w:b/>
        </w:rPr>
        <w:t xml:space="preserve">         </w:t>
      </w:r>
      <w:r w:rsidRPr="00C83F4C">
        <w:rPr>
          <w:b/>
        </w:rPr>
        <w:t>Energy 101: Geothermal Heat Pumps</w:t>
      </w:r>
      <w:r>
        <w:rPr>
          <w:b/>
        </w:rPr>
        <w:t xml:space="preserve">, </w:t>
      </w:r>
      <w:r w:rsidRPr="00C83F4C">
        <w:rPr>
          <w:b/>
        </w:rPr>
        <w:t xml:space="preserve"> www.eere.energy.gov/multimedia/ vid-eo_geothermal_heat_pumps.html</w:t>
      </w:r>
    </w:p>
    <w:p w:rsidR="00B95260" w:rsidRPr="00BD7580" w:rsidRDefault="00B95260" w:rsidP="00D10067"/>
    <w:p w:rsidR="006A4E2E" w:rsidRDefault="00B95260" w:rsidP="00D10067">
      <w:pPr>
        <w:pStyle w:val="Heading1"/>
      </w:pPr>
      <w:bookmarkStart w:id="6" w:name="_Toc5818676"/>
      <w:r>
        <w:t>Appendix C Externalities</w:t>
      </w:r>
      <w:bookmarkEnd w:id="6"/>
    </w:p>
    <w:p w:rsidR="00B95260" w:rsidRPr="00530DBA" w:rsidRDefault="00B95260" w:rsidP="00D10067">
      <w:r>
        <w:t xml:space="preserve">Today we know that our economic system is broken.  </w:t>
      </w:r>
      <w:r w:rsidRPr="00530DBA">
        <w:t>It allows many types of producers (including 'for-profit' Utility Corporations) to ignore</w:t>
      </w:r>
      <w:r w:rsidR="00FA16B3">
        <w:t>/</w:t>
      </w:r>
      <w:r w:rsidRPr="00530DBA">
        <w:t xml:space="preserve">externalize the </w:t>
      </w:r>
      <w:r>
        <w:t xml:space="preserve">social </w:t>
      </w:r>
      <w:r w:rsidRPr="00530DBA">
        <w:t>costs of their products in the market price.    As a result the free market is not properly informed of the true cost /</w:t>
      </w:r>
      <w:r>
        <w:t xml:space="preserve"> total cost of that product.   </w:t>
      </w:r>
      <w:r w:rsidRPr="00530DBA">
        <w:t xml:space="preserve">Attempting to identify &amp; internalize </w:t>
      </w:r>
      <w:r>
        <w:t>these ignored costs</w:t>
      </w:r>
      <w:r w:rsidRPr="00530DBA">
        <w:t xml:space="preserve"> is </w:t>
      </w:r>
      <w:r>
        <w:t xml:space="preserve">a </w:t>
      </w:r>
      <w:r w:rsidRPr="00530DBA">
        <w:t xml:space="preserve">good place to start.  </w:t>
      </w:r>
      <w:r>
        <w:t xml:space="preserve"> </w:t>
      </w:r>
      <w:r w:rsidRPr="00530DBA">
        <w:t>In the detailed study by Epstein et</w:t>
      </w:r>
      <w:r w:rsidR="00FA16B3">
        <w:t xml:space="preserve"> </w:t>
      </w:r>
      <w:r w:rsidRPr="00530DBA">
        <w:t>al. cited below</w:t>
      </w:r>
      <w:r w:rsidR="00FA16B3">
        <w:t>,</w:t>
      </w:r>
      <w:r w:rsidRPr="00530DBA">
        <w:t xml:space="preserve"> there are a dozen ignored cost that are identified  and monetized specifically for coal-generated electricity:   </w:t>
      </w:r>
    </w:p>
    <w:p w:rsidR="00B95260" w:rsidRPr="00530DBA" w:rsidRDefault="00B95260" w:rsidP="00B95260">
      <w:pPr>
        <w:pStyle w:val="NoSpacing"/>
      </w:pPr>
      <w:r w:rsidRPr="00530DBA">
        <w:t>• Land disturbance</w:t>
      </w:r>
    </w:p>
    <w:p w:rsidR="00B95260" w:rsidRPr="00530DBA" w:rsidRDefault="00B95260" w:rsidP="00B95260">
      <w:pPr>
        <w:pStyle w:val="NoSpacing"/>
      </w:pPr>
      <w:r w:rsidRPr="00530DBA">
        <w:t>• Methane emissions from mines</w:t>
      </w:r>
    </w:p>
    <w:p w:rsidR="00B95260" w:rsidRPr="00530DBA" w:rsidRDefault="00B95260" w:rsidP="00B95260">
      <w:pPr>
        <w:pStyle w:val="NoSpacing"/>
      </w:pPr>
      <w:r w:rsidRPr="00530DBA">
        <w:t xml:space="preserve">• Carcinogens (mostly to water from waste) </w:t>
      </w:r>
    </w:p>
    <w:p w:rsidR="00B95260" w:rsidRPr="00530DBA" w:rsidRDefault="00B95260" w:rsidP="00B95260">
      <w:pPr>
        <w:pStyle w:val="NoSpacing"/>
      </w:pPr>
      <w:r w:rsidRPr="00530DBA">
        <w:t>• Public health burden of communities in Appalachia</w:t>
      </w:r>
    </w:p>
    <w:p w:rsidR="00B95260" w:rsidRPr="00530DBA" w:rsidRDefault="00B95260" w:rsidP="00B95260">
      <w:pPr>
        <w:pStyle w:val="NoSpacing"/>
      </w:pPr>
      <w:r w:rsidRPr="00530DBA">
        <w:t>• Fatalities in the public due to coal transport</w:t>
      </w:r>
    </w:p>
    <w:p w:rsidR="00B95260" w:rsidRPr="00530DBA" w:rsidRDefault="00B95260" w:rsidP="00B95260">
      <w:pPr>
        <w:pStyle w:val="NoSpacing"/>
      </w:pPr>
      <w:r w:rsidRPr="00530DBA">
        <w:t>• Emissions of air pollutants from combustion</w:t>
      </w:r>
    </w:p>
    <w:p w:rsidR="00B95260" w:rsidRPr="00530DBA" w:rsidRDefault="00B95260" w:rsidP="00B95260">
      <w:pPr>
        <w:pStyle w:val="NoSpacing"/>
      </w:pPr>
      <w:r w:rsidRPr="00530DBA">
        <w:t>• Lost productivity from mercury emissions</w:t>
      </w:r>
    </w:p>
    <w:p w:rsidR="00B95260" w:rsidRPr="00530DBA" w:rsidRDefault="00B95260" w:rsidP="00B95260">
      <w:pPr>
        <w:pStyle w:val="NoSpacing"/>
      </w:pPr>
      <w:r w:rsidRPr="00530DBA">
        <w:t>• Excess mental retardation cases from mercury emissions</w:t>
      </w:r>
    </w:p>
    <w:p w:rsidR="00B95260" w:rsidRPr="00530DBA" w:rsidRDefault="00B95260" w:rsidP="00B95260">
      <w:pPr>
        <w:pStyle w:val="NoSpacing"/>
      </w:pPr>
      <w:r w:rsidRPr="00530DBA">
        <w:t>• Excess cardiovascular disease from mercury emissions</w:t>
      </w:r>
    </w:p>
    <w:p w:rsidR="00B95260" w:rsidRPr="00530DBA" w:rsidRDefault="00B95260" w:rsidP="00B95260">
      <w:pPr>
        <w:pStyle w:val="NoSpacing"/>
      </w:pPr>
      <w:r w:rsidRPr="00530DBA">
        <w:t>• Climate damage from combustion emissions of CO2 and N2O</w:t>
      </w:r>
    </w:p>
    <w:p w:rsidR="00B95260" w:rsidRDefault="00B95260" w:rsidP="00B95260">
      <w:pPr>
        <w:pStyle w:val="NoSpacing"/>
      </w:pPr>
      <w:r w:rsidRPr="00530DBA">
        <w:t>• Climate damages from combustion emissions of black carbon</w:t>
      </w:r>
    </w:p>
    <w:p w:rsidR="00B95260" w:rsidRDefault="00B95260" w:rsidP="00D10067"/>
    <w:p w:rsidR="00B95260" w:rsidRDefault="00B95260" w:rsidP="00D10067">
      <w:r w:rsidRPr="00530DBA">
        <w:t>REFERENCE:   "</w:t>
      </w:r>
      <w:r w:rsidRPr="000F36B8">
        <w:rPr>
          <w:b/>
        </w:rPr>
        <w:t>Full cost accounting for the life cycle of coal</w:t>
      </w:r>
      <w:r w:rsidRPr="00530DBA">
        <w:t>" by</w:t>
      </w:r>
      <w:r>
        <w:t xml:space="preserve"> </w:t>
      </w:r>
      <w:r w:rsidRPr="00530DBA">
        <w:t>Paul R. Epstein, Jonathan J. Buonocore, Kevin Eckerle, Michael Hendryx, Benjamin M. Stout III, Richard Heinberg, Richard W. Clapp, Beverly May, Nancy L. Reinhart, Melissa M. Ahern, Samir K. Doshi, and Leslie Glustrom, Harvard Medical Center for Health and the Global Environment</w:t>
      </w:r>
      <w:r>
        <w:t xml:space="preserve">, </w:t>
      </w:r>
      <w:r w:rsidRPr="00530DBA">
        <w:t>ANNALS OF THE NEW YORK ACADEMY OF SCIENCES  Issue: Ecological Economics Reviews</w:t>
      </w:r>
    </w:p>
    <w:p w:rsidR="00B95260" w:rsidRDefault="00B95260" w:rsidP="00D10067">
      <w:r w:rsidRPr="00530DBA">
        <w:t xml:space="preserve">"We estimate that the life cycle effects of coal and the waste stream generated are costing the U.S. public a third to over one-half of a trillion dollars annually.  </w:t>
      </w:r>
      <w:r w:rsidRPr="00392A8A">
        <w:rPr>
          <w:b/>
        </w:rPr>
        <w:t xml:space="preserve">Accounting for the damages </w:t>
      </w:r>
      <w:r w:rsidRPr="00392A8A">
        <w:rPr>
          <w:b/>
        </w:rPr>
        <w:lastRenderedPageBreak/>
        <w:t>conservatively doubles to triples the price of electricity from coal per kWh generated</w:t>
      </w:r>
      <w:r w:rsidRPr="00530DBA">
        <w:t>, making wind, solar, and other forms of nonfossil fuel power generation, along with investments in efficiency and electricity conservation methods, economically competitive."</w:t>
      </w:r>
    </w:p>
    <w:p w:rsidR="00B95260" w:rsidRPr="00530DBA" w:rsidRDefault="00B95260" w:rsidP="00D10067">
      <w:r w:rsidRPr="00530DBA">
        <w:t>"Life cycle analysis, examining all stages in using a resource, is central to the full cost accounting needed to guide public po</w:t>
      </w:r>
      <w:r>
        <w:t xml:space="preserve">licy and private investment.” </w:t>
      </w:r>
    </w:p>
    <w:p w:rsidR="00B95260" w:rsidRPr="00530DBA" w:rsidRDefault="00B95260" w:rsidP="00D10067">
      <w:r w:rsidRPr="00530DBA">
        <w:t>"</w:t>
      </w:r>
      <w:r w:rsidR="00FA16B3">
        <w:t>T</w:t>
      </w:r>
      <w:r w:rsidRPr="00530DBA">
        <w:t>o rigorously examine these different damage endpoints, we examined the many stages in the life cycle of coal, using a framework of environmental externalities, or “hidden costs.”    Externalities occur when the activity of one agent affects the well-being of another agent outside of any market mechanism—these are often not taken into account in decision-making</w:t>
      </w:r>
      <w:r w:rsidR="00FA16B3">
        <w:t>,</w:t>
      </w:r>
      <w:r w:rsidRPr="00530DBA">
        <w:t xml:space="preserve"> and when they are not accounted for, they can distort the decision-making process and red</w:t>
      </w:r>
      <w:r>
        <w:t xml:space="preserve">uce the welfare of society.    </w:t>
      </w:r>
    </w:p>
    <w:p w:rsidR="00B95260" w:rsidRDefault="00B95260" w:rsidP="00D10067">
      <w:r w:rsidRPr="00530DBA">
        <w:t>This work strives to derive monetary values for these externalities so that they can be used to inform policy making."</w:t>
      </w:r>
    </w:p>
    <w:p w:rsidR="00C92C22" w:rsidRDefault="00B95260" w:rsidP="00DB4769">
      <w:r>
        <w:t>“</w:t>
      </w:r>
      <w:r w:rsidRPr="00530DBA">
        <w:t>Our comprehensive review finds that the best estimate for the total economically quantifiable costs, based on a conservative weighting of many of the study findings,...to be close to 17.8¢  /kWh ...the upper bounds of electricity generated from coal could add close to 26.89¢ /kWh....These and the more difficult to quantify externalities are borne by the general public.</w:t>
      </w:r>
    </w:p>
    <w:p w:rsidR="00C92C22" w:rsidRDefault="000C18D8" w:rsidP="000C18D8">
      <w:pPr>
        <w:pStyle w:val="Heading1"/>
      </w:pPr>
      <w:r>
        <w:t>Appendix D L</w:t>
      </w:r>
      <w:r w:rsidR="00190A46">
        <w:t xml:space="preserve">ife </w:t>
      </w:r>
      <w:r>
        <w:t>C</w:t>
      </w:r>
      <w:r w:rsidR="00190A46">
        <w:t xml:space="preserve">ycle </w:t>
      </w:r>
      <w:r>
        <w:t>A</w:t>
      </w:r>
      <w:r w:rsidR="00190A46">
        <w:t>ssessment</w:t>
      </w:r>
    </w:p>
    <w:p w:rsidR="00190A46" w:rsidRPr="00190A46" w:rsidRDefault="00190A46" w:rsidP="00190A46">
      <w:pPr>
        <w:pStyle w:val="Heading2"/>
        <w:rPr>
          <w:b w:val="0"/>
          <w:sz w:val="20"/>
        </w:rPr>
      </w:pPr>
      <w:r w:rsidRPr="00190A46">
        <w:rPr>
          <w:b w:val="0"/>
          <w:sz w:val="24"/>
        </w:rPr>
        <w:t xml:space="preserve">The Europeans are far ahead of the U.S. in terms of addressing sustainable living and sustainable products.  For the past decade they have extending an assessment tool called GaBi to assist them in designing and </w:t>
      </w:r>
      <w:r>
        <w:rPr>
          <w:b w:val="0"/>
          <w:sz w:val="24"/>
        </w:rPr>
        <w:t xml:space="preserve">manufacturing </w:t>
      </w:r>
      <w:r w:rsidRPr="00190A46">
        <w:rPr>
          <w:b w:val="0"/>
          <w:sz w:val="24"/>
        </w:rPr>
        <w:t>sustainable products</w:t>
      </w:r>
      <w:r>
        <w:rPr>
          <w:b w:val="0"/>
          <w:sz w:val="24"/>
        </w:rPr>
        <w:t xml:space="preserve"> as well as creating sustainable enterprises.    See: </w:t>
      </w:r>
      <w:hyperlink r:id="rId17" w:history="1">
        <w:r w:rsidRPr="00190A46">
          <w:rPr>
            <w:rStyle w:val="Hyperlink"/>
            <w:sz w:val="22"/>
          </w:rPr>
          <w:t>http://www.gabi-software.com/overview/product-sustainability-performance/</w:t>
        </w:r>
      </w:hyperlink>
    </w:p>
    <w:p w:rsidR="00190A46" w:rsidRPr="00190A46" w:rsidRDefault="00190A46" w:rsidP="00190A46">
      <w:pPr>
        <w:rPr>
          <w:sz w:val="20"/>
        </w:rPr>
      </w:pPr>
    </w:p>
    <w:tbl>
      <w:tblPr>
        <w:tblStyle w:val="TableGrid"/>
        <w:tblW w:w="0" w:type="auto"/>
        <w:tblLook w:val="04A0" w:firstRow="1" w:lastRow="0" w:firstColumn="1" w:lastColumn="0" w:noHBand="0" w:noVBand="1"/>
      </w:tblPr>
      <w:tblGrid>
        <w:gridCol w:w="9350"/>
      </w:tblGrid>
      <w:tr w:rsidR="00190A46" w:rsidTr="00190A46">
        <w:tc>
          <w:tcPr>
            <w:tcW w:w="9350" w:type="dxa"/>
          </w:tcPr>
          <w:p w:rsidR="00190A46" w:rsidRDefault="00190A46" w:rsidP="00190A46">
            <w:pPr>
              <w:pStyle w:val="Heading1"/>
              <w:shd w:val="clear" w:color="auto" w:fill="FFFFFF"/>
              <w:spacing w:before="0" w:beforeAutospacing="0" w:after="0" w:afterAutospacing="0"/>
              <w:outlineLvl w:val="0"/>
              <w:rPr>
                <w:rFonts w:ascii="Trebuchet MS" w:hAnsi="Trebuchet MS"/>
                <w:b w:val="0"/>
                <w:bCs w:val="0"/>
                <w:color w:val="auto"/>
                <w:sz w:val="29"/>
                <w:szCs w:val="29"/>
              </w:rPr>
            </w:pPr>
            <w:r w:rsidRPr="00190A46">
              <w:rPr>
                <w:rFonts w:ascii="Trebuchet MS" w:hAnsi="Trebuchet MS"/>
                <w:b w:val="0"/>
                <w:bCs w:val="0"/>
                <w:color w:val="auto"/>
                <w:sz w:val="29"/>
                <w:szCs w:val="29"/>
              </w:rPr>
              <w:t>Product Sustainability Performance</w:t>
            </w:r>
          </w:p>
          <w:p w:rsidR="00190A46" w:rsidRPr="00190A46" w:rsidRDefault="00190A46" w:rsidP="00190A46">
            <w:pPr>
              <w:pStyle w:val="Heading1"/>
              <w:shd w:val="clear" w:color="auto" w:fill="FFFFFF"/>
              <w:spacing w:before="0" w:beforeAutospacing="0" w:after="0" w:afterAutospacing="0"/>
              <w:rPr>
                <w:rFonts w:ascii="Trebuchet MS" w:hAnsi="Trebuchet MS"/>
                <w:b w:val="0"/>
                <w:bCs w:val="0"/>
                <w:color w:val="auto"/>
                <w:sz w:val="29"/>
                <w:szCs w:val="29"/>
              </w:rPr>
            </w:pPr>
            <w:hyperlink r:id="rId18" w:history="1">
              <w:r w:rsidRPr="00A470CE">
                <w:rPr>
                  <w:rStyle w:val="Hyperlink"/>
                  <w:rFonts w:ascii="Trebuchet MS" w:hAnsi="Trebuchet MS"/>
                  <w:b w:val="0"/>
                  <w:bCs w:val="0"/>
                  <w:sz w:val="29"/>
                  <w:szCs w:val="29"/>
                </w:rPr>
                <w:t>https://youtu.be/XmFmXyChufs</w:t>
              </w:r>
            </w:hyperlink>
            <w:r>
              <w:rPr>
                <w:rFonts w:ascii="Trebuchet MS" w:hAnsi="Trebuchet MS"/>
                <w:b w:val="0"/>
                <w:bCs w:val="0"/>
                <w:color w:val="auto"/>
                <w:sz w:val="29"/>
                <w:szCs w:val="29"/>
              </w:rPr>
              <w:t xml:space="preserve"> </w:t>
            </w:r>
          </w:p>
          <w:p w:rsidR="00190A46" w:rsidRPr="00DB4769" w:rsidRDefault="00190A46" w:rsidP="00DB4769">
            <w:pPr>
              <w:pStyle w:val="Heading2"/>
              <w:shd w:val="clear" w:color="auto" w:fill="FFFFFF"/>
              <w:spacing w:before="180" w:after="45"/>
              <w:outlineLvl w:val="1"/>
              <w:rPr>
                <w:rFonts w:ascii="Trebuchet MS" w:hAnsi="Trebuchet MS"/>
                <w:bCs/>
                <w:color w:val="1F345E"/>
                <w:sz w:val="24"/>
                <w:szCs w:val="24"/>
              </w:rPr>
            </w:pPr>
            <w:r>
              <w:rPr>
                <w:rFonts w:ascii="Trebuchet MS" w:hAnsi="Trebuchet MS"/>
                <w:color w:val="1F345E"/>
                <w:sz w:val="24"/>
                <w:szCs w:val="24"/>
              </w:rPr>
              <w:t>Every day over 2,500 leading businesses rely on GaBi Software to drive their product sustainability</w:t>
            </w:r>
          </w:p>
          <w:p w:rsidR="00190A46" w:rsidRPr="00DB4769" w:rsidRDefault="00190A46" w:rsidP="00DB4769">
            <w:pPr>
              <w:pStyle w:val="Heading4"/>
              <w:shd w:val="clear" w:color="auto" w:fill="FFFFFF"/>
              <w:spacing w:before="120" w:after="120"/>
              <w:outlineLvl w:val="3"/>
              <w:rPr>
                <w:rFonts w:ascii="Verdana" w:hAnsi="Verdana"/>
                <w:color w:val="6E6E6E"/>
                <w:sz w:val="16"/>
                <w:szCs w:val="16"/>
              </w:rPr>
            </w:pPr>
            <w:r>
              <w:rPr>
                <w:rFonts w:ascii="Verdana" w:hAnsi="Verdana"/>
                <w:color w:val="6E6E6E"/>
                <w:sz w:val="16"/>
                <w:szCs w:val="16"/>
              </w:rPr>
              <w:t>GaBi is the most trusted product sustainability solution for Life Cycle Assessment with over 10,000 users including Fortune 500 companies, leading industry associations and innovative SMEs.</w:t>
            </w:r>
          </w:p>
          <w:p w:rsidR="00190A46" w:rsidRDefault="00190A46" w:rsidP="00190A46">
            <w:pPr>
              <w:pStyle w:val="Heading3"/>
              <w:shd w:val="clear" w:color="auto" w:fill="FFFFFF"/>
              <w:spacing w:before="120" w:after="120"/>
              <w:outlineLvl w:val="2"/>
              <w:rPr>
                <w:rFonts w:ascii="Trebuchet MS" w:hAnsi="Trebuchet MS"/>
                <w:color w:val="1F345E"/>
                <w:sz w:val="21"/>
                <w:szCs w:val="21"/>
              </w:rPr>
            </w:pPr>
            <w:r>
              <w:rPr>
                <w:rFonts w:ascii="Trebuchet MS" w:hAnsi="Trebuchet MS"/>
                <w:color w:val="1F345E"/>
                <w:sz w:val="21"/>
                <w:szCs w:val="21"/>
              </w:rPr>
              <w:t>GaBi provides the answers to your most pressing product sustainability questions:</w:t>
            </w:r>
          </w:p>
          <w:p w:rsidR="00190A46" w:rsidRDefault="00190A46" w:rsidP="00190A46">
            <w:pPr>
              <w:pStyle w:val="Heading3"/>
              <w:shd w:val="clear" w:color="auto" w:fill="FFFFFF"/>
              <w:spacing w:before="120" w:after="120"/>
              <w:outlineLvl w:val="2"/>
              <w:rPr>
                <w:rFonts w:ascii="Trebuchet MS" w:hAnsi="Trebuchet MS"/>
                <w:color w:val="1F345E"/>
                <w:sz w:val="21"/>
                <w:szCs w:val="21"/>
              </w:rPr>
            </w:pPr>
            <w:r>
              <w:rPr>
                <w:rFonts w:ascii="Trebuchet MS" w:hAnsi="Trebuchet MS"/>
                <w:color w:val="1F345E"/>
                <w:sz w:val="21"/>
                <w:szCs w:val="21"/>
              </w:rPr>
              <w:t>R&amp;D, Product Development &amp; Design</w:t>
            </w:r>
          </w:p>
          <w:p w:rsidR="00190A46" w:rsidRDefault="00190A46" w:rsidP="00190A46">
            <w:pPr>
              <w:pStyle w:val="bulletgabi"/>
              <w:shd w:val="clear" w:color="auto" w:fill="FFFFFF"/>
              <w:spacing w:before="0" w:beforeAutospacing="0" w:after="0" w:afterAutospacing="0"/>
              <w:rPr>
                <w:rFonts w:ascii="Verdana" w:hAnsi="Verdana"/>
                <w:color w:val="6E6E6E"/>
                <w:sz w:val="16"/>
                <w:szCs w:val="16"/>
              </w:rPr>
            </w:pPr>
            <w:r>
              <w:rPr>
                <w:rFonts w:ascii="Verdana" w:hAnsi="Verdana"/>
                <w:color w:val="6E6E6E"/>
                <w:sz w:val="16"/>
                <w:szCs w:val="16"/>
              </w:rPr>
              <w:t>How can we develop a sustainable product portfolio to build competitive advantage and increase revenues?</w:t>
            </w:r>
          </w:p>
          <w:p w:rsidR="00190A46" w:rsidRDefault="00190A46" w:rsidP="00190A46">
            <w:pPr>
              <w:pStyle w:val="Heading3"/>
              <w:shd w:val="clear" w:color="auto" w:fill="FFFFFF"/>
              <w:spacing w:before="120" w:after="120"/>
              <w:rPr>
                <w:rFonts w:ascii="Trebuchet MS" w:hAnsi="Trebuchet MS"/>
                <w:color w:val="1F345E"/>
                <w:sz w:val="21"/>
                <w:szCs w:val="21"/>
              </w:rPr>
            </w:pPr>
            <w:r>
              <w:rPr>
                <w:rFonts w:ascii="Trebuchet MS" w:hAnsi="Trebuchet MS"/>
                <w:color w:val="1F345E"/>
                <w:sz w:val="21"/>
                <w:szCs w:val="21"/>
              </w:rPr>
              <w:t>Sustainability/Environment Department</w:t>
            </w:r>
          </w:p>
          <w:p w:rsidR="00190A46" w:rsidRDefault="00190A46" w:rsidP="00190A46">
            <w:pPr>
              <w:pStyle w:val="bulletgabi"/>
              <w:shd w:val="clear" w:color="auto" w:fill="FFFFFF"/>
              <w:spacing w:before="0" w:beforeAutospacing="0" w:after="0" w:afterAutospacing="0"/>
              <w:rPr>
                <w:rFonts w:ascii="Verdana" w:hAnsi="Verdana"/>
                <w:color w:val="6E6E6E"/>
                <w:sz w:val="16"/>
                <w:szCs w:val="16"/>
              </w:rPr>
            </w:pPr>
            <w:r>
              <w:rPr>
                <w:rFonts w:ascii="Verdana" w:hAnsi="Verdana"/>
                <w:color w:val="6E6E6E"/>
                <w:sz w:val="16"/>
                <w:szCs w:val="16"/>
              </w:rPr>
              <w:t>How can we build a product sustainability strategy and meet our targets?</w:t>
            </w:r>
          </w:p>
          <w:p w:rsidR="00190A46" w:rsidRDefault="00190A46" w:rsidP="00190A46">
            <w:pPr>
              <w:pStyle w:val="Heading3"/>
              <w:shd w:val="clear" w:color="auto" w:fill="FFFFFF"/>
              <w:spacing w:before="120" w:after="120"/>
              <w:rPr>
                <w:rFonts w:ascii="Trebuchet MS" w:hAnsi="Trebuchet MS"/>
                <w:color w:val="1F345E"/>
                <w:sz w:val="21"/>
                <w:szCs w:val="21"/>
              </w:rPr>
            </w:pPr>
            <w:r>
              <w:rPr>
                <w:rFonts w:ascii="Trebuchet MS" w:hAnsi="Trebuchet MS"/>
                <w:color w:val="1F345E"/>
                <w:sz w:val="21"/>
                <w:szCs w:val="21"/>
              </w:rPr>
              <w:lastRenderedPageBreak/>
              <w:t>Marketing &amp; Communications</w:t>
            </w:r>
          </w:p>
          <w:p w:rsidR="00190A46" w:rsidRDefault="00190A46" w:rsidP="00190A46">
            <w:pPr>
              <w:pStyle w:val="bulletgabi"/>
              <w:shd w:val="clear" w:color="auto" w:fill="FFFFFF"/>
              <w:spacing w:before="0" w:beforeAutospacing="0" w:after="0" w:afterAutospacing="0"/>
              <w:rPr>
                <w:rFonts w:ascii="Verdana" w:hAnsi="Verdana"/>
                <w:color w:val="6E6E6E"/>
                <w:sz w:val="16"/>
                <w:szCs w:val="16"/>
              </w:rPr>
            </w:pPr>
            <w:r>
              <w:rPr>
                <w:rFonts w:ascii="Verdana" w:hAnsi="Verdana"/>
                <w:color w:val="6E6E6E"/>
                <w:sz w:val="16"/>
                <w:szCs w:val="16"/>
              </w:rPr>
              <w:t>How can we differentiate our products with verifiable sustainability credentials to drive customer preference?</w:t>
            </w:r>
          </w:p>
          <w:p w:rsidR="00190A46" w:rsidRDefault="00190A46" w:rsidP="00190A46">
            <w:pPr>
              <w:pStyle w:val="Heading3"/>
              <w:shd w:val="clear" w:color="auto" w:fill="FFFFFF"/>
              <w:spacing w:before="120" w:after="120"/>
              <w:rPr>
                <w:rFonts w:ascii="Trebuchet MS" w:hAnsi="Trebuchet MS"/>
                <w:color w:val="1F345E"/>
                <w:sz w:val="21"/>
                <w:szCs w:val="21"/>
              </w:rPr>
            </w:pPr>
            <w:r>
              <w:rPr>
                <w:rFonts w:ascii="Trebuchet MS" w:hAnsi="Trebuchet MS"/>
                <w:color w:val="1F345E"/>
                <w:sz w:val="21"/>
                <w:szCs w:val="21"/>
              </w:rPr>
              <w:t>Operations</w:t>
            </w:r>
          </w:p>
          <w:p w:rsidR="00190A46" w:rsidRDefault="00190A46" w:rsidP="00190A46">
            <w:pPr>
              <w:pStyle w:val="bulletgabi"/>
              <w:shd w:val="clear" w:color="auto" w:fill="FFFFFF"/>
              <w:spacing w:before="0" w:beforeAutospacing="0" w:after="0" w:afterAutospacing="0"/>
              <w:rPr>
                <w:rFonts w:ascii="Verdana" w:hAnsi="Verdana"/>
                <w:color w:val="6E6E6E"/>
                <w:sz w:val="16"/>
                <w:szCs w:val="16"/>
              </w:rPr>
            </w:pPr>
            <w:r>
              <w:rPr>
                <w:rFonts w:ascii="Verdana" w:hAnsi="Verdana"/>
                <w:color w:val="6E6E6E"/>
                <w:sz w:val="16"/>
                <w:szCs w:val="16"/>
              </w:rPr>
              <w:t>How can we use resources more efficiently and optimize processes throughout the value chain to reduce cost?</w:t>
            </w:r>
          </w:p>
          <w:p w:rsidR="00190A46" w:rsidRDefault="00190A46" w:rsidP="00190A46">
            <w:pPr>
              <w:pStyle w:val="Heading3"/>
              <w:shd w:val="clear" w:color="auto" w:fill="FFFFFF"/>
              <w:spacing w:before="120" w:after="120"/>
              <w:rPr>
                <w:rFonts w:ascii="Trebuchet MS" w:hAnsi="Trebuchet MS"/>
                <w:color w:val="1F345E"/>
                <w:sz w:val="21"/>
                <w:szCs w:val="21"/>
              </w:rPr>
            </w:pPr>
            <w:r>
              <w:rPr>
                <w:rFonts w:ascii="Trebuchet MS" w:hAnsi="Trebuchet MS"/>
                <w:color w:val="1F345E"/>
                <w:sz w:val="21"/>
                <w:szCs w:val="21"/>
              </w:rPr>
              <w:t>Supply Chain</w:t>
            </w:r>
          </w:p>
          <w:p w:rsidR="00190A46" w:rsidRPr="00DB4769" w:rsidRDefault="00190A46" w:rsidP="00DB4769">
            <w:pPr>
              <w:pStyle w:val="bulletgabi"/>
              <w:shd w:val="clear" w:color="auto" w:fill="FFFFFF"/>
              <w:spacing w:before="0" w:beforeAutospacing="0" w:after="0" w:afterAutospacing="0"/>
              <w:rPr>
                <w:rFonts w:ascii="Verdana" w:hAnsi="Verdana"/>
                <w:color w:val="6E6E6E"/>
                <w:sz w:val="16"/>
                <w:szCs w:val="16"/>
              </w:rPr>
            </w:pPr>
            <w:r>
              <w:rPr>
                <w:rFonts w:ascii="Verdana" w:hAnsi="Verdana"/>
                <w:color w:val="6E6E6E"/>
                <w:sz w:val="16"/>
                <w:szCs w:val="16"/>
              </w:rPr>
              <w:t>How can we identify supply-chain hotspots including materials and processes of concern to mitigate risk?</w:t>
            </w:r>
          </w:p>
        </w:tc>
      </w:tr>
    </w:tbl>
    <w:p w:rsidR="00190A46" w:rsidRDefault="00190A46" w:rsidP="000C18D8">
      <w:pPr>
        <w:pStyle w:val="Heading1"/>
      </w:pPr>
    </w:p>
    <w:tbl>
      <w:tblPr>
        <w:tblStyle w:val="TableGrid"/>
        <w:tblW w:w="0" w:type="auto"/>
        <w:tblLook w:val="04A0" w:firstRow="1" w:lastRow="0" w:firstColumn="1" w:lastColumn="0" w:noHBand="0" w:noVBand="1"/>
      </w:tblPr>
      <w:tblGrid>
        <w:gridCol w:w="9350"/>
      </w:tblGrid>
      <w:tr w:rsidR="000B2B49" w:rsidTr="00190A46">
        <w:tc>
          <w:tcPr>
            <w:tcW w:w="9350" w:type="dxa"/>
            <w:shd w:val="clear" w:color="auto" w:fill="00B050"/>
          </w:tcPr>
          <w:p w:rsidR="000B2B49" w:rsidRPr="00190A46" w:rsidRDefault="000B2B49" w:rsidP="00190A46">
            <w:pPr>
              <w:pStyle w:val="Heading1"/>
              <w:shd w:val="clear" w:color="auto" w:fill="00B050"/>
              <w:spacing w:before="0" w:beforeAutospacing="0" w:after="0" w:afterAutospacing="0"/>
              <w:rPr>
                <w:rFonts w:ascii="Trebuchet MS" w:hAnsi="Trebuchet MS"/>
                <w:b w:val="0"/>
                <w:bCs w:val="0"/>
                <w:color w:val="FFFFFF" w:themeColor="background1"/>
                <w:sz w:val="29"/>
                <w:szCs w:val="29"/>
              </w:rPr>
            </w:pPr>
            <w:r w:rsidRPr="00190A46">
              <w:rPr>
                <w:rFonts w:ascii="Trebuchet MS" w:hAnsi="Trebuchet MS"/>
                <w:b w:val="0"/>
                <w:bCs w:val="0"/>
                <w:color w:val="FFFFFF" w:themeColor="background1"/>
                <w:sz w:val="29"/>
                <w:szCs w:val="29"/>
              </w:rPr>
              <w:t>What is GaBi Software?</w:t>
            </w:r>
          </w:p>
          <w:p w:rsidR="000B2B49" w:rsidRDefault="000B2B49" w:rsidP="000B2B49">
            <w:pPr>
              <w:pStyle w:val="Heading2"/>
              <w:shd w:val="clear" w:color="auto" w:fill="FFFFFF"/>
              <w:spacing w:before="180" w:after="45"/>
              <w:rPr>
                <w:rFonts w:ascii="Trebuchet MS" w:hAnsi="Trebuchet MS"/>
                <w:bCs/>
                <w:color w:val="1F345E"/>
                <w:sz w:val="24"/>
                <w:szCs w:val="24"/>
              </w:rPr>
            </w:pPr>
            <w:r>
              <w:rPr>
                <w:rFonts w:ascii="Trebuchet MS" w:hAnsi="Trebuchet MS"/>
                <w:color w:val="1F345E"/>
                <w:sz w:val="24"/>
                <w:szCs w:val="24"/>
              </w:rPr>
              <w:t>GaBi is the next generation product sustainability solution with a powerful Life Cycle Assessment engine to support the following business applications:</w:t>
            </w:r>
          </w:p>
          <w:p w:rsidR="000B2B49" w:rsidRDefault="000B2B49" w:rsidP="000B2B49">
            <w:pPr>
              <w:pStyle w:val="Heading3"/>
              <w:shd w:val="clear" w:color="auto" w:fill="FFFFFF"/>
              <w:spacing w:before="120" w:after="120"/>
              <w:rPr>
                <w:rFonts w:ascii="Trebuchet MS" w:hAnsi="Trebuchet MS"/>
                <w:color w:val="1F345E"/>
                <w:sz w:val="21"/>
                <w:szCs w:val="21"/>
              </w:rPr>
            </w:pPr>
            <w:r>
              <w:rPr>
                <w:rFonts w:ascii="Trebuchet MS" w:hAnsi="Trebuchet MS"/>
                <w:color w:val="1F345E"/>
                <w:sz w:val="21"/>
                <w:szCs w:val="21"/>
              </w:rPr>
              <w:t>Life Cycle Assessment</w:t>
            </w:r>
          </w:p>
          <w:p w:rsidR="000B2B49" w:rsidRPr="00190A46" w:rsidRDefault="000B2B49" w:rsidP="000B2B49">
            <w:pPr>
              <w:numPr>
                <w:ilvl w:val="0"/>
                <w:numId w:val="23"/>
              </w:numPr>
              <w:ind w:left="180"/>
              <w:rPr>
                <w:rFonts w:ascii="Verdana" w:hAnsi="Verdana"/>
                <w:color w:val="FFFFFF" w:themeColor="background1"/>
                <w:sz w:val="16"/>
                <w:szCs w:val="16"/>
              </w:rPr>
            </w:pPr>
            <w:r w:rsidRPr="00190A46">
              <w:rPr>
                <w:rStyle w:val="Strong"/>
                <w:rFonts w:ascii="Verdana" w:hAnsi="Verdana"/>
                <w:color w:val="FFFFFF" w:themeColor="background1"/>
                <w:sz w:val="16"/>
                <w:szCs w:val="16"/>
              </w:rPr>
              <w:t>Design for Environment:</w:t>
            </w:r>
            <w:r w:rsidRPr="00190A46">
              <w:rPr>
                <w:rFonts w:ascii="Verdana" w:hAnsi="Verdana"/>
                <w:color w:val="FFFFFF" w:themeColor="background1"/>
                <w:sz w:val="16"/>
                <w:szCs w:val="16"/>
              </w:rPr>
              <w:t> developing products that meet environmental regulations</w:t>
            </w:r>
          </w:p>
          <w:p w:rsidR="000B2B49" w:rsidRPr="00190A46" w:rsidRDefault="000B2B49" w:rsidP="000B2B49">
            <w:pPr>
              <w:numPr>
                <w:ilvl w:val="0"/>
                <w:numId w:val="24"/>
              </w:numPr>
              <w:ind w:left="180"/>
              <w:rPr>
                <w:rFonts w:ascii="Verdana" w:hAnsi="Verdana"/>
                <w:color w:val="FFFFFF" w:themeColor="background1"/>
                <w:sz w:val="16"/>
                <w:szCs w:val="16"/>
              </w:rPr>
            </w:pPr>
            <w:r w:rsidRPr="00190A46">
              <w:rPr>
                <w:rStyle w:val="Strong"/>
                <w:rFonts w:ascii="Verdana" w:hAnsi="Verdana"/>
                <w:color w:val="FFFFFF" w:themeColor="background1"/>
                <w:sz w:val="16"/>
                <w:szCs w:val="16"/>
              </w:rPr>
              <w:t>Eco-efficiency:</w:t>
            </w:r>
            <w:r w:rsidRPr="00190A46">
              <w:rPr>
                <w:rFonts w:ascii="Verdana" w:hAnsi="Verdana"/>
                <w:color w:val="FFFFFF" w:themeColor="background1"/>
                <w:sz w:val="16"/>
                <w:szCs w:val="16"/>
              </w:rPr>
              <w:t> reducing material, energy and resource use</w:t>
            </w:r>
          </w:p>
          <w:p w:rsidR="000B2B49" w:rsidRPr="00190A46" w:rsidRDefault="000B2B49" w:rsidP="000B2B49">
            <w:pPr>
              <w:numPr>
                <w:ilvl w:val="0"/>
                <w:numId w:val="25"/>
              </w:numPr>
              <w:ind w:left="180"/>
              <w:rPr>
                <w:rFonts w:ascii="Verdana" w:hAnsi="Verdana"/>
                <w:color w:val="FFFFFF" w:themeColor="background1"/>
                <w:sz w:val="16"/>
                <w:szCs w:val="16"/>
              </w:rPr>
            </w:pPr>
            <w:r w:rsidRPr="00190A46">
              <w:rPr>
                <w:rStyle w:val="Strong"/>
                <w:rFonts w:ascii="Verdana" w:hAnsi="Verdana"/>
                <w:color w:val="FFFFFF" w:themeColor="background1"/>
                <w:sz w:val="16"/>
                <w:szCs w:val="16"/>
              </w:rPr>
              <w:t>Eco-design:</w:t>
            </w:r>
            <w:r w:rsidRPr="00190A46">
              <w:rPr>
                <w:rFonts w:ascii="Verdana" w:hAnsi="Verdana"/>
                <w:color w:val="FFFFFF" w:themeColor="background1"/>
                <w:sz w:val="16"/>
                <w:szCs w:val="16"/>
              </w:rPr>
              <w:t> developing products with smaller environmental footprints such as fewer GHG emissions, reduced water consumption and waste</w:t>
            </w:r>
          </w:p>
          <w:p w:rsidR="000B2B49" w:rsidRPr="00190A46" w:rsidRDefault="000B2B49" w:rsidP="000B2B49">
            <w:pPr>
              <w:numPr>
                <w:ilvl w:val="0"/>
                <w:numId w:val="26"/>
              </w:numPr>
              <w:ind w:left="180"/>
              <w:rPr>
                <w:rFonts w:ascii="Verdana" w:hAnsi="Verdana"/>
                <w:color w:val="FFFFFF" w:themeColor="background1"/>
                <w:sz w:val="16"/>
                <w:szCs w:val="16"/>
              </w:rPr>
            </w:pPr>
            <w:r w:rsidRPr="00190A46">
              <w:rPr>
                <w:rStyle w:val="Strong"/>
                <w:rFonts w:ascii="Verdana" w:hAnsi="Verdana"/>
                <w:color w:val="FFFFFF" w:themeColor="background1"/>
                <w:sz w:val="16"/>
                <w:szCs w:val="16"/>
              </w:rPr>
              <w:t>Efficient value chains:</w:t>
            </w:r>
            <w:r w:rsidRPr="00190A46">
              <w:rPr>
                <w:rFonts w:ascii="Verdana" w:hAnsi="Verdana"/>
                <w:color w:val="FFFFFF" w:themeColor="background1"/>
                <w:sz w:val="16"/>
                <w:szCs w:val="16"/>
              </w:rPr>
              <w:t> enhancing efficiency of value chains e.g. R&amp;D, design, production, suppliers, distribution</w:t>
            </w:r>
          </w:p>
          <w:p w:rsidR="000B2B49" w:rsidRDefault="000B2B49" w:rsidP="000B2B49">
            <w:pPr>
              <w:pStyle w:val="Heading3"/>
              <w:shd w:val="clear" w:color="auto" w:fill="FFFFFF"/>
              <w:spacing w:before="120" w:after="120"/>
              <w:rPr>
                <w:rFonts w:ascii="Trebuchet MS" w:hAnsi="Trebuchet MS"/>
                <w:color w:val="1F345E"/>
                <w:sz w:val="21"/>
                <w:szCs w:val="21"/>
              </w:rPr>
            </w:pPr>
            <w:r>
              <w:rPr>
                <w:rFonts w:ascii="Trebuchet MS" w:hAnsi="Trebuchet MS"/>
                <w:color w:val="1F345E"/>
                <w:sz w:val="21"/>
                <w:szCs w:val="21"/>
              </w:rPr>
              <w:t>Life Cycle Costing</w:t>
            </w:r>
          </w:p>
          <w:p w:rsidR="000B2B49" w:rsidRPr="00190A46" w:rsidRDefault="000B2B49" w:rsidP="000B2B49">
            <w:pPr>
              <w:numPr>
                <w:ilvl w:val="0"/>
                <w:numId w:val="27"/>
              </w:numPr>
              <w:ind w:left="180"/>
              <w:rPr>
                <w:rFonts w:ascii="Verdana" w:hAnsi="Verdana"/>
                <w:color w:val="FFFFFF" w:themeColor="background1"/>
                <w:sz w:val="16"/>
                <w:szCs w:val="16"/>
              </w:rPr>
            </w:pPr>
            <w:r w:rsidRPr="00190A46">
              <w:rPr>
                <w:rStyle w:val="Strong"/>
                <w:rFonts w:ascii="Verdana" w:hAnsi="Verdana"/>
                <w:color w:val="FFFFFF" w:themeColor="background1"/>
                <w:sz w:val="16"/>
                <w:szCs w:val="16"/>
              </w:rPr>
              <w:t>Cost reduction: </w:t>
            </w:r>
            <w:r w:rsidRPr="00190A46">
              <w:rPr>
                <w:rFonts w:ascii="Verdana" w:hAnsi="Verdana"/>
                <w:color w:val="FFFFFF" w:themeColor="background1"/>
                <w:sz w:val="16"/>
                <w:szCs w:val="16"/>
              </w:rPr>
              <w:t>designing and optimizing products and processes for cost reduction</w:t>
            </w:r>
          </w:p>
          <w:p w:rsidR="000B2B49" w:rsidRDefault="000B2B49" w:rsidP="000B2B49">
            <w:pPr>
              <w:pStyle w:val="Heading3"/>
              <w:shd w:val="clear" w:color="auto" w:fill="FFFFFF"/>
              <w:spacing w:before="120" w:after="120"/>
              <w:rPr>
                <w:rFonts w:ascii="Trebuchet MS" w:hAnsi="Trebuchet MS"/>
                <w:color w:val="1F345E"/>
                <w:sz w:val="21"/>
                <w:szCs w:val="21"/>
              </w:rPr>
            </w:pPr>
            <w:r>
              <w:rPr>
                <w:rFonts w:ascii="Trebuchet MS" w:hAnsi="Trebuchet MS"/>
                <w:color w:val="1F345E"/>
                <w:sz w:val="21"/>
                <w:szCs w:val="21"/>
              </w:rPr>
              <w:t>Life Cycle Reporting</w:t>
            </w:r>
          </w:p>
          <w:p w:rsidR="000B2B49" w:rsidRPr="00190A46" w:rsidRDefault="000B2B49" w:rsidP="000B2B49">
            <w:pPr>
              <w:numPr>
                <w:ilvl w:val="0"/>
                <w:numId w:val="28"/>
              </w:numPr>
              <w:ind w:left="180"/>
              <w:rPr>
                <w:rFonts w:ascii="Verdana" w:hAnsi="Verdana"/>
                <w:color w:val="FFFFFF" w:themeColor="background1"/>
                <w:sz w:val="16"/>
                <w:szCs w:val="16"/>
              </w:rPr>
            </w:pPr>
            <w:r w:rsidRPr="00190A46">
              <w:rPr>
                <w:rStyle w:val="Strong"/>
                <w:rFonts w:ascii="Verdana" w:hAnsi="Verdana"/>
                <w:color w:val="FFFFFF" w:themeColor="background1"/>
                <w:sz w:val="16"/>
                <w:szCs w:val="16"/>
              </w:rPr>
              <w:t>Sustainable Product Marketing:</w:t>
            </w:r>
            <w:r w:rsidRPr="00190A46">
              <w:rPr>
                <w:rFonts w:ascii="Verdana" w:hAnsi="Verdana"/>
                <w:color w:val="FFFFFF" w:themeColor="background1"/>
                <w:sz w:val="16"/>
                <w:szCs w:val="16"/>
              </w:rPr>
              <w:t> product sustainability labels &amp; claims, Environmental Product Declarations (EPDs)</w:t>
            </w:r>
            <w:r w:rsidRPr="00190A46">
              <w:rPr>
                <w:rFonts w:ascii="Verdana" w:hAnsi="Verdana"/>
                <w:color w:val="FFFFFF" w:themeColor="background1"/>
                <w:sz w:val="16"/>
                <w:szCs w:val="16"/>
              </w:rPr>
              <w:br/>
              <w:t>    </w:t>
            </w:r>
          </w:p>
          <w:p w:rsidR="000B2B49" w:rsidRPr="00190A46" w:rsidRDefault="000B2B49" w:rsidP="000B2B49">
            <w:pPr>
              <w:numPr>
                <w:ilvl w:val="0"/>
                <w:numId w:val="28"/>
              </w:numPr>
              <w:ind w:left="180"/>
              <w:rPr>
                <w:rFonts w:ascii="Verdana" w:hAnsi="Verdana"/>
                <w:color w:val="FFFFFF" w:themeColor="background1"/>
                <w:sz w:val="16"/>
                <w:szCs w:val="16"/>
              </w:rPr>
            </w:pPr>
            <w:r w:rsidRPr="00190A46">
              <w:rPr>
                <w:rStyle w:val="Strong"/>
                <w:rFonts w:ascii="Verdana" w:hAnsi="Verdana"/>
                <w:color w:val="FFFFFF" w:themeColor="background1"/>
                <w:sz w:val="16"/>
                <w:szCs w:val="16"/>
              </w:rPr>
              <w:t>Sustainability Reporting:</w:t>
            </w:r>
            <w:r w:rsidRPr="00190A46">
              <w:rPr>
                <w:rFonts w:ascii="Verdana" w:hAnsi="Verdana"/>
                <w:color w:val="FFFFFF" w:themeColor="background1"/>
                <w:sz w:val="16"/>
                <w:szCs w:val="16"/>
              </w:rPr>
              <w:t> environmental communication &amp; product sustainability reporting  </w:t>
            </w:r>
          </w:p>
          <w:p w:rsidR="000B2B49" w:rsidRPr="00190A46" w:rsidRDefault="000B2B49" w:rsidP="000B2B49">
            <w:pPr>
              <w:numPr>
                <w:ilvl w:val="0"/>
                <w:numId w:val="29"/>
              </w:numPr>
              <w:ind w:left="180"/>
              <w:rPr>
                <w:rFonts w:ascii="Verdana" w:hAnsi="Verdana"/>
                <w:color w:val="FFFFFF" w:themeColor="background1"/>
                <w:sz w:val="16"/>
                <w:szCs w:val="16"/>
              </w:rPr>
            </w:pPr>
            <w:r w:rsidRPr="00190A46">
              <w:rPr>
                <w:rStyle w:val="Strong"/>
                <w:rFonts w:ascii="Verdana" w:hAnsi="Verdana"/>
                <w:color w:val="FFFFFF" w:themeColor="background1"/>
                <w:sz w:val="16"/>
                <w:szCs w:val="16"/>
              </w:rPr>
              <w:t>LCA knowledge sharing:</w:t>
            </w:r>
            <w:r w:rsidRPr="00190A46">
              <w:rPr>
                <w:rFonts w:ascii="Verdana" w:hAnsi="Verdana"/>
                <w:color w:val="FFFFFF" w:themeColor="background1"/>
                <w:sz w:val="16"/>
                <w:szCs w:val="16"/>
              </w:rPr>
              <w:t> reporting and analysis for internal departments, management and supply chain</w:t>
            </w:r>
          </w:p>
          <w:p w:rsidR="000B2B49" w:rsidRDefault="000B2B49" w:rsidP="000B2B49">
            <w:pPr>
              <w:pStyle w:val="Heading3"/>
              <w:shd w:val="clear" w:color="auto" w:fill="FFFFFF"/>
              <w:spacing w:before="120" w:after="120"/>
              <w:rPr>
                <w:rFonts w:ascii="Trebuchet MS" w:hAnsi="Trebuchet MS"/>
                <w:color w:val="1F345E"/>
                <w:sz w:val="21"/>
                <w:szCs w:val="21"/>
              </w:rPr>
            </w:pPr>
            <w:r>
              <w:rPr>
                <w:rFonts w:ascii="Trebuchet MS" w:hAnsi="Trebuchet MS"/>
                <w:color w:val="1F345E"/>
                <w:sz w:val="21"/>
                <w:szCs w:val="21"/>
              </w:rPr>
              <w:t>Life Cycle Working Environment</w:t>
            </w:r>
          </w:p>
          <w:p w:rsidR="000B2B49" w:rsidRPr="00190A46" w:rsidRDefault="000B2B49" w:rsidP="000B2B49">
            <w:pPr>
              <w:numPr>
                <w:ilvl w:val="0"/>
                <w:numId w:val="30"/>
              </w:numPr>
              <w:ind w:left="180"/>
              <w:rPr>
                <w:rFonts w:ascii="Verdana" w:hAnsi="Verdana"/>
                <w:color w:val="FFFFFF" w:themeColor="background1"/>
                <w:sz w:val="16"/>
                <w:szCs w:val="16"/>
              </w:rPr>
            </w:pPr>
            <w:r w:rsidRPr="00190A46">
              <w:rPr>
                <w:rStyle w:val="Strong"/>
                <w:rFonts w:ascii="Verdana" w:hAnsi="Verdana"/>
                <w:color w:val="FFFFFF" w:themeColor="background1"/>
                <w:sz w:val="16"/>
                <w:szCs w:val="16"/>
              </w:rPr>
              <w:t>Responsible manufacturing:</w:t>
            </w:r>
            <w:r w:rsidRPr="00190A46">
              <w:rPr>
                <w:rFonts w:ascii="Verdana" w:hAnsi="Verdana"/>
                <w:color w:val="FFFFFF" w:themeColor="background1"/>
                <w:sz w:val="16"/>
                <w:szCs w:val="16"/>
              </w:rPr>
              <w:t> developing manufacturing process that address social responsibilities</w:t>
            </w:r>
          </w:p>
          <w:p w:rsidR="000B2B49" w:rsidRDefault="000B2B49" w:rsidP="000C18D8">
            <w:pPr>
              <w:pStyle w:val="Heading1"/>
              <w:outlineLvl w:val="0"/>
            </w:pPr>
          </w:p>
        </w:tc>
      </w:tr>
    </w:tbl>
    <w:p w:rsidR="000B2B49" w:rsidRDefault="000B2B49" w:rsidP="000C18D8">
      <w:pPr>
        <w:pStyle w:val="Heading1"/>
      </w:pPr>
    </w:p>
    <w:tbl>
      <w:tblPr>
        <w:tblStyle w:val="TableGrid"/>
        <w:tblW w:w="0" w:type="auto"/>
        <w:tblLook w:val="04A0" w:firstRow="1" w:lastRow="0" w:firstColumn="1" w:lastColumn="0" w:noHBand="0" w:noVBand="1"/>
      </w:tblPr>
      <w:tblGrid>
        <w:gridCol w:w="7721"/>
      </w:tblGrid>
      <w:tr w:rsidR="000C18D8" w:rsidTr="000C18D8">
        <w:tc>
          <w:tcPr>
            <w:tcW w:w="7645" w:type="dxa"/>
          </w:tcPr>
          <w:p w:rsidR="000C18D8" w:rsidRPr="000C18D8" w:rsidRDefault="000C18D8" w:rsidP="000C18D8">
            <w:pPr>
              <w:pStyle w:val="Heading1"/>
              <w:shd w:val="clear" w:color="auto" w:fill="FFFFFF"/>
              <w:spacing w:before="0" w:beforeAutospacing="0" w:after="0" w:afterAutospacing="0"/>
              <w:rPr>
                <w:rFonts w:ascii="Trebuchet MS" w:hAnsi="Trebuchet MS"/>
                <w:b w:val="0"/>
                <w:bCs w:val="0"/>
                <w:color w:val="auto"/>
                <w:sz w:val="29"/>
                <w:szCs w:val="29"/>
              </w:rPr>
            </w:pPr>
            <w:r w:rsidRPr="00190A46">
              <w:rPr>
                <w:rFonts w:ascii="Trebuchet MS" w:hAnsi="Trebuchet MS"/>
                <w:b w:val="0"/>
                <w:bCs w:val="0"/>
                <w:color w:val="auto"/>
                <w:sz w:val="29"/>
                <w:szCs w:val="29"/>
              </w:rPr>
              <w:t>E</w:t>
            </w:r>
            <w:r w:rsidRPr="000C18D8">
              <w:rPr>
                <w:rFonts w:ascii="Trebuchet MS" w:hAnsi="Trebuchet MS"/>
                <w:b w:val="0"/>
                <w:bCs w:val="0"/>
                <w:color w:val="auto"/>
                <w:sz w:val="29"/>
                <w:szCs w:val="29"/>
              </w:rPr>
              <w:t>F Database v2.0</w:t>
            </w:r>
          </w:p>
          <w:p w:rsidR="000C18D8" w:rsidRDefault="000C18D8" w:rsidP="000C18D8">
            <w:pPr>
              <w:shd w:val="clear" w:color="auto" w:fill="FFFFFF"/>
              <w:rPr>
                <w:rFonts w:ascii="Verdana" w:hAnsi="Verdana"/>
                <w:color w:val="6E6E6E"/>
                <w:sz w:val="17"/>
                <w:szCs w:val="17"/>
              </w:rPr>
            </w:pPr>
            <w:r>
              <w:rPr>
                <w:rFonts w:ascii="Verdana" w:hAnsi="Verdana"/>
                <w:noProof/>
                <w:color w:val="6E6E6E"/>
                <w:sz w:val="17"/>
                <w:szCs w:val="17"/>
              </w:rPr>
              <w:lastRenderedPageBreak/>
              <w:drawing>
                <wp:inline distT="0" distB="0" distL="0" distR="0">
                  <wp:extent cx="4765675" cy="2332355"/>
                  <wp:effectExtent l="0" t="0" r="0" b="0"/>
                  <wp:docPr id="30" name="Picture 30" descr="EF Database (Environmental Footprint Database) v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 Database (Environmental Footprint Database) v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5675" cy="2332355"/>
                          </a:xfrm>
                          <a:prstGeom prst="rect">
                            <a:avLst/>
                          </a:prstGeom>
                          <a:noFill/>
                          <a:ln>
                            <a:noFill/>
                          </a:ln>
                        </pic:spPr>
                      </pic:pic>
                    </a:graphicData>
                  </a:graphic>
                </wp:inline>
              </w:drawing>
            </w:r>
          </w:p>
          <w:p w:rsidR="000C18D8" w:rsidRPr="000C18D8" w:rsidRDefault="000C18D8" w:rsidP="000C18D8">
            <w:pPr>
              <w:pStyle w:val="Heading2"/>
              <w:shd w:val="clear" w:color="auto" w:fill="FFFFFF"/>
              <w:spacing w:before="180" w:after="45"/>
              <w:outlineLvl w:val="1"/>
              <w:rPr>
                <w:rFonts w:ascii="Trebuchet MS" w:hAnsi="Trebuchet MS"/>
                <w:color w:val="1F345E"/>
                <w:sz w:val="24"/>
                <w:szCs w:val="24"/>
              </w:rPr>
            </w:pPr>
            <w:r>
              <w:rPr>
                <w:rFonts w:ascii="Trebuchet MS" w:hAnsi="Trebuchet MS"/>
                <w:color w:val="1F345E"/>
                <w:sz w:val="24"/>
                <w:szCs w:val="24"/>
              </w:rPr>
              <w:t>Environmental Footprint Database v2.0</w:t>
            </w:r>
            <w:r>
              <w:rPr>
                <w:rFonts w:ascii="Verdana" w:hAnsi="Verdana"/>
                <w:color w:val="6E6E6E"/>
                <w:sz w:val="16"/>
                <w:szCs w:val="16"/>
              </w:rPr>
              <w:br/>
              <w:t>The Environmental Footprint (EF) database is designed to support the implementation of Product Environmental Footprint (PEF) and Organisation Environmental Footprint (OEF) studies. It contains the official secondary EF-compliant life cycle inventory datasets and the compatible EF impact assessment methods.</w:t>
            </w:r>
            <w:r>
              <w:rPr>
                <w:rFonts w:ascii="Verdana" w:hAnsi="Verdana"/>
                <w:color w:val="6E6E6E"/>
                <w:sz w:val="16"/>
                <w:szCs w:val="16"/>
              </w:rPr>
              <w:br/>
            </w:r>
            <w:r>
              <w:rPr>
                <w:rFonts w:ascii="Verdana" w:hAnsi="Verdana"/>
                <w:color w:val="6E6E6E"/>
                <w:sz w:val="16"/>
                <w:szCs w:val="16"/>
              </w:rPr>
              <w:br/>
            </w:r>
            <w:r>
              <w:rPr>
                <w:rFonts w:ascii="Verdana" w:hAnsi="Verdana"/>
                <w:color w:val="6E6E6E"/>
                <w:sz w:val="16"/>
                <w:szCs w:val="16"/>
                <w:lang w:val="en-GB"/>
              </w:rPr>
              <w:t>The Environmental Footprint database is part of the </w:t>
            </w:r>
            <w:hyperlink r:id="rId20" w:tgtFrame="_blank" w:tooltip="Single Market for Green Products Initiative" w:history="1">
              <w:r>
                <w:rPr>
                  <w:rStyle w:val="Hyperlink"/>
                  <w:rFonts w:ascii="Verdana" w:hAnsi="Verdana"/>
                  <w:color w:val="6E6E6E"/>
                  <w:sz w:val="16"/>
                  <w:szCs w:val="16"/>
                  <w:lang w:val="en-GB"/>
                </w:rPr>
                <w:t>European Commission’s Single Market for Green Products Initiative</w:t>
              </w:r>
            </w:hyperlink>
            <w:r>
              <w:rPr>
                <w:rFonts w:ascii="Verdana" w:hAnsi="Verdana"/>
                <w:color w:val="6E6E6E"/>
                <w:sz w:val="16"/>
                <w:szCs w:val="16"/>
                <w:lang w:val="en-GB"/>
              </w:rPr>
              <w:t>.</w:t>
            </w:r>
          </w:p>
          <w:p w:rsidR="000C18D8" w:rsidRDefault="000C18D8" w:rsidP="000C18D8">
            <w:pPr>
              <w:pStyle w:val="Heading2"/>
              <w:shd w:val="clear" w:color="auto" w:fill="FFFFFF"/>
              <w:spacing w:before="180" w:after="45"/>
              <w:rPr>
                <w:rFonts w:ascii="Trebuchet MS" w:hAnsi="Trebuchet MS"/>
                <w:color w:val="1F345E"/>
                <w:sz w:val="24"/>
                <w:szCs w:val="24"/>
              </w:rPr>
            </w:pPr>
            <w:r>
              <w:rPr>
                <w:rFonts w:ascii="Trebuchet MS" w:hAnsi="Trebuchet MS"/>
                <w:color w:val="1F345E"/>
                <w:sz w:val="24"/>
                <w:szCs w:val="24"/>
              </w:rPr>
              <w:t>EF Database v2.0 Project Partners</w:t>
            </w:r>
          </w:p>
          <w:p w:rsidR="000C18D8" w:rsidRDefault="000C18D8" w:rsidP="000C18D8">
            <w:pPr>
              <w:shd w:val="clear" w:color="auto" w:fill="FFFFFF"/>
              <w:rPr>
                <w:rFonts w:ascii="Verdana" w:hAnsi="Verdana"/>
                <w:color w:val="6E6E6E"/>
                <w:sz w:val="17"/>
                <w:szCs w:val="17"/>
              </w:rPr>
            </w:pPr>
            <w:r>
              <w:rPr>
                <w:rFonts w:ascii="Verdana" w:hAnsi="Verdana"/>
                <w:noProof/>
                <w:color w:val="6E6E6E"/>
                <w:sz w:val="17"/>
                <w:szCs w:val="17"/>
              </w:rPr>
              <w:drawing>
                <wp:anchor distT="0" distB="0" distL="114300" distR="114300" simplePos="0" relativeHeight="251659264" behindDoc="0" locked="0" layoutInCell="1" allowOverlap="1">
                  <wp:simplePos x="0" y="0"/>
                  <wp:positionH relativeFrom="column">
                    <wp:posOffset>1862</wp:posOffset>
                  </wp:positionH>
                  <wp:positionV relativeFrom="paragraph">
                    <wp:posOffset>-1066</wp:posOffset>
                  </wp:positionV>
                  <wp:extent cx="2332355" cy="2045970"/>
                  <wp:effectExtent l="0" t="0" r="0" b="0"/>
                  <wp:wrapSquare wrapText="bothSides"/>
                  <wp:docPr id="29" name="Picture 29" descr="http://www.gabi-software.com/typo3temp/pics/2e2a4da0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bi-software.com/typo3temp/pics/2e2a4da0d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2355" cy="2045970"/>
                          </a:xfrm>
                          <a:prstGeom prst="rect">
                            <a:avLst/>
                          </a:prstGeom>
                          <a:noFill/>
                          <a:ln>
                            <a:noFill/>
                          </a:ln>
                        </pic:spPr>
                      </pic:pic>
                    </a:graphicData>
                  </a:graphic>
                </wp:anchor>
              </w:drawing>
            </w:r>
          </w:p>
          <w:p w:rsidR="000C18D8" w:rsidRDefault="000C18D8" w:rsidP="000C18D8">
            <w:pPr>
              <w:pStyle w:val="NormalWeb"/>
              <w:shd w:val="clear" w:color="auto" w:fill="FFFFFF"/>
              <w:spacing w:before="0" w:beforeAutospacing="0" w:after="0" w:afterAutospacing="0"/>
              <w:rPr>
                <w:rFonts w:ascii="Verdana" w:hAnsi="Verdana"/>
                <w:color w:val="6E6E6E"/>
                <w:sz w:val="16"/>
                <w:szCs w:val="16"/>
              </w:rPr>
            </w:pPr>
            <w:r>
              <w:rPr>
                <w:rFonts w:ascii="Verdana" w:hAnsi="Verdana"/>
                <w:b/>
                <w:bCs/>
                <w:color w:val="6E6E6E"/>
                <w:sz w:val="16"/>
                <w:szCs w:val="16"/>
              </w:rPr>
              <w:br/>
            </w:r>
            <w:r>
              <w:rPr>
                <w:rStyle w:val="Strong"/>
                <w:rFonts w:ascii="Verdana" w:hAnsi="Verdana"/>
                <w:color w:val="6E6E6E"/>
                <w:sz w:val="16"/>
                <w:szCs w:val="16"/>
              </w:rPr>
              <w:t>Facilitated by</w:t>
            </w:r>
            <w:r w:rsidR="00DB4769">
              <w:rPr>
                <w:rStyle w:val="Strong"/>
                <w:rFonts w:ascii="Verdana" w:hAnsi="Verdana"/>
                <w:color w:val="6E6E6E"/>
                <w:sz w:val="16"/>
                <w:szCs w:val="16"/>
              </w:rPr>
              <w:t xml:space="preserve">:  </w:t>
            </w:r>
            <w:r>
              <w:rPr>
                <w:rFonts w:ascii="Verdana" w:hAnsi="Verdana"/>
                <w:color w:val="6E6E6E"/>
                <w:sz w:val="16"/>
                <w:szCs w:val="16"/>
              </w:rPr>
              <w:t>European Commission</w:t>
            </w:r>
          </w:p>
          <w:p w:rsidR="000C18D8" w:rsidRDefault="000C18D8" w:rsidP="00DB4769">
            <w:pPr>
              <w:pStyle w:val="NormalWeb"/>
              <w:shd w:val="clear" w:color="auto" w:fill="FFFFFF"/>
              <w:spacing w:before="0" w:beforeAutospacing="0" w:after="0" w:afterAutospacing="0"/>
              <w:rPr>
                <w:rFonts w:ascii="Verdana" w:hAnsi="Verdana"/>
                <w:color w:val="6E6E6E"/>
                <w:sz w:val="16"/>
                <w:szCs w:val="16"/>
              </w:rPr>
            </w:pPr>
            <w:r>
              <w:rPr>
                <w:rFonts w:ascii="Verdana" w:hAnsi="Verdana"/>
                <w:b/>
                <w:bCs/>
                <w:color w:val="6E6E6E"/>
                <w:sz w:val="16"/>
                <w:szCs w:val="16"/>
              </w:rPr>
              <w:br/>
            </w:r>
            <w:r>
              <w:rPr>
                <w:rStyle w:val="Strong"/>
                <w:rFonts w:ascii="Verdana" w:hAnsi="Verdana"/>
                <w:color w:val="6E6E6E"/>
                <w:sz w:val="16"/>
                <w:szCs w:val="16"/>
              </w:rPr>
              <w:t>Developed by</w:t>
            </w:r>
            <w:r w:rsidR="00DB4769">
              <w:rPr>
                <w:rStyle w:val="Strong"/>
                <w:rFonts w:ascii="Verdana" w:hAnsi="Verdana"/>
                <w:color w:val="6E6E6E"/>
                <w:sz w:val="16"/>
                <w:szCs w:val="16"/>
              </w:rPr>
              <w:t xml:space="preserve">: </w:t>
            </w:r>
            <w:r>
              <w:rPr>
                <w:rFonts w:ascii="Verdana" w:hAnsi="Verdana"/>
                <w:color w:val="6E6E6E"/>
                <w:sz w:val="16"/>
                <w:szCs w:val="16"/>
              </w:rPr>
              <w:t>Blonk Consultants</w:t>
            </w:r>
            <w:r w:rsidR="00DB4769">
              <w:rPr>
                <w:rFonts w:ascii="Verdana" w:hAnsi="Verdana"/>
                <w:color w:val="6E6E6E"/>
                <w:sz w:val="16"/>
                <w:szCs w:val="16"/>
              </w:rPr>
              <w:t xml:space="preserve">, </w:t>
            </w:r>
            <w:r>
              <w:rPr>
                <w:rFonts w:ascii="Verdana" w:hAnsi="Verdana"/>
                <w:color w:val="6E6E6E"/>
                <w:sz w:val="16"/>
                <w:szCs w:val="16"/>
              </w:rPr>
              <w:t>CEPE</w:t>
            </w:r>
            <w:r w:rsidR="00DB4769">
              <w:rPr>
                <w:rFonts w:ascii="Verdana" w:hAnsi="Verdana"/>
                <w:color w:val="6E6E6E"/>
                <w:sz w:val="16"/>
                <w:szCs w:val="16"/>
              </w:rPr>
              <w:t xml:space="preserve">, </w:t>
            </w:r>
            <w:r>
              <w:rPr>
                <w:rFonts w:ascii="Verdana" w:hAnsi="Verdana"/>
                <w:color w:val="6E6E6E"/>
                <w:sz w:val="16"/>
                <w:szCs w:val="16"/>
              </w:rPr>
              <w:t>Cycleco</w:t>
            </w:r>
            <w:r w:rsidR="00DB4769">
              <w:rPr>
                <w:rFonts w:ascii="Verdana" w:hAnsi="Verdana"/>
                <w:color w:val="6E6E6E"/>
                <w:sz w:val="16"/>
                <w:szCs w:val="16"/>
              </w:rPr>
              <w:t xml:space="preserve">, </w:t>
            </w:r>
            <w:r>
              <w:rPr>
                <w:rFonts w:ascii="Verdana" w:hAnsi="Verdana"/>
                <w:color w:val="6E6E6E"/>
                <w:sz w:val="16"/>
                <w:szCs w:val="16"/>
              </w:rPr>
              <w:t>ecoinvent</w:t>
            </w:r>
            <w:r w:rsidR="00DB4769">
              <w:rPr>
                <w:rFonts w:ascii="Verdana" w:hAnsi="Verdana"/>
                <w:color w:val="6E6E6E"/>
                <w:sz w:val="16"/>
                <w:szCs w:val="16"/>
              </w:rPr>
              <w:t xml:space="preserve">, </w:t>
            </w:r>
            <w:r>
              <w:rPr>
                <w:rFonts w:ascii="Verdana" w:hAnsi="Verdana"/>
                <w:color w:val="6E6E6E"/>
                <w:sz w:val="16"/>
                <w:szCs w:val="16"/>
              </w:rPr>
              <w:t>FEFAC</w:t>
            </w:r>
            <w:r w:rsidR="00DB4769">
              <w:rPr>
                <w:rFonts w:ascii="Verdana" w:hAnsi="Verdana"/>
                <w:color w:val="6E6E6E"/>
                <w:sz w:val="16"/>
                <w:szCs w:val="16"/>
              </w:rPr>
              <w:t xml:space="preserve">, </w:t>
            </w:r>
            <w:r>
              <w:rPr>
                <w:rFonts w:ascii="Verdana" w:hAnsi="Verdana"/>
                <w:color w:val="6E6E6E"/>
                <w:sz w:val="16"/>
                <w:szCs w:val="16"/>
              </w:rPr>
              <w:t>FEVE</w:t>
            </w:r>
            <w:r w:rsidR="00DB4769">
              <w:rPr>
                <w:rFonts w:ascii="Verdana" w:hAnsi="Verdana"/>
                <w:color w:val="6E6E6E"/>
                <w:sz w:val="16"/>
                <w:szCs w:val="16"/>
              </w:rPr>
              <w:t xml:space="preserve">, </w:t>
            </w:r>
            <w:r>
              <w:rPr>
                <w:rFonts w:ascii="Verdana" w:hAnsi="Verdana"/>
                <w:color w:val="6E6E6E"/>
                <w:sz w:val="16"/>
                <w:szCs w:val="16"/>
              </w:rPr>
              <w:t>maki Consulting</w:t>
            </w:r>
            <w:r w:rsidR="00DB4769">
              <w:rPr>
                <w:rFonts w:ascii="Verdana" w:hAnsi="Verdana"/>
                <w:color w:val="6E6E6E"/>
                <w:sz w:val="16"/>
                <w:szCs w:val="16"/>
              </w:rPr>
              <w:t xml:space="preserve">. </w:t>
            </w:r>
            <w:r>
              <w:rPr>
                <w:rFonts w:ascii="Verdana" w:hAnsi="Verdana"/>
                <w:color w:val="6E6E6E"/>
                <w:sz w:val="16"/>
                <w:szCs w:val="16"/>
              </w:rPr>
              <w:t>PRé</w:t>
            </w:r>
            <w:r w:rsidR="00DB4769">
              <w:rPr>
                <w:rFonts w:ascii="Verdana" w:hAnsi="Verdana"/>
                <w:color w:val="6E6E6E"/>
                <w:sz w:val="16"/>
                <w:szCs w:val="16"/>
              </w:rPr>
              <w:t xml:space="preserve"> </w:t>
            </w:r>
            <w:r>
              <w:rPr>
                <w:rFonts w:ascii="Verdana" w:hAnsi="Verdana"/>
                <w:color w:val="6E6E6E"/>
                <w:sz w:val="16"/>
                <w:szCs w:val="16"/>
              </w:rPr>
              <w:t>Sustainability</w:t>
            </w:r>
            <w:r w:rsidR="00DB4769">
              <w:rPr>
                <w:rFonts w:ascii="Verdana" w:hAnsi="Verdana"/>
                <w:color w:val="6E6E6E"/>
                <w:sz w:val="16"/>
                <w:szCs w:val="16"/>
              </w:rPr>
              <w:t xml:space="preserve">, </w:t>
            </w:r>
            <w:r>
              <w:rPr>
                <w:rFonts w:ascii="Verdana" w:hAnsi="Verdana"/>
                <w:color w:val="6E6E6E"/>
                <w:sz w:val="16"/>
                <w:szCs w:val="16"/>
              </w:rPr>
              <w:t>Quantis</w:t>
            </w:r>
            <w:r w:rsidR="00DB4769">
              <w:rPr>
                <w:rFonts w:ascii="Verdana" w:hAnsi="Verdana"/>
                <w:color w:val="6E6E6E"/>
                <w:sz w:val="16"/>
                <w:szCs w:val="16"/>
              </w:rPr>
              <w:t xml:space="preserve">, </w:t>
            </w:r>
            <w:r>
              <w:rPr>
                <w:rFonts w:ascii="Verdana" w:hAnsi="Verdana"/>
                <w:color w:val="6E6E6E"/>
                <w:sz w:val="16"/>
                <w:szCs w:val="16"/>
              </w:rPr>
              <w:t>RDC</w:t>
            </w:r>
            <w:r w:rsidR="00DB4769">
              <w:rPr>
                <w:rFonts w:ascii="Verdana" w:hAnsi="Verdana"/>
                <w:color w:val="6E6E6E"/>
                <w:sz w:val="16"/>
                <w:szCs w:val="16"/>
              </w:rPr>
              <w:t xml:space="preserve">, </w:t>
            </w:r>
            <w:r>
              <w:rPr>
                <w:rFonts w:ascii="Verdana" w:hAnsi="Verdana"/>
                <w:color w:val="6E6E6E"/>
                <w:sz w:val="16"/>
                <w:szCs w:val="16"/>
              </w:rPr>
              <w:t>thinkstep</w:t>
            </w:r>
          </w:p>
          <w:p w:rsidR="000C18D8" w:rsidRDefault="000C18D8" w:rsidP="000C18D8">
            <w:pPr>
              <w:pStyle w:val="NormalWeb"/>
              <w:shd w:val="clear" w:color="auto" w:fill="FFFFFF"/>
              <w:spacing w:before="0" w:beforeAutospacing="0" w:after="0" w:afterAutospacing="0"/>
              <w:rPr>
                <w:rFonts w:ascii="Verdana" w:hAnsi="Verdana"/>
                <w:color w:val="6E6E6E"/>
                <w:sz w:val="16"/>
                <w:szCs w:val="16"/>
              </w:rPr>
            </w:pPr>
            <w:r>
              <w:rPr>
                <w:rFonts w:ascii="Verdana" w:hAnsi="Verdana"/>
                <w:color w:val="6E6E6E"/>
                <w:sz w:val="16"/>
                <w:szCs w:val="16"/>
                <w:lang w:val="en-GB"/>
              </w:rPr>
              <w:br/>
            </w:r>
            <w:r>
              <w:rPr>
                <w:rFonts w:ascii="Verdana" w:hAnsi="Verdana"/>
                <w:color w:val="6E6E6E"/>
                <w:sz w:val="16"/>
                <w:szCs w:val="16"/>
              </w:rPr>
              <w:t>For users of any LCA software, which is able to deal with ILCD format and the special requirements of the EF 2.0 database, there are two options to gain access to the EF data:</w:t>
            </w:r>
          </w:p>
          <w:p w:rsidR="000C18D8" w:rsidRDefault="000C18D8" w:rsidP="000C18D8">
            <w:pPr>
              <w:pStyle w:val="Heading2"/>
              <w:shd w:val="clear" w:color="auto" w:fill="FFFFFF"/>
              <w:spacing w:before="60" w:after="120"/>
              <w:rPr>
                <w:rFonts w:ascii="Trebuchet MS" w:hAnsi="Trebuchet MS"/>
                <w:color w:val="1F345E"/>
                <w:sz w:val="24"/>
                <w:szCs w:val="24"/>
              </w:rPr>
            </w:pPr>
            <w:r>
              <w:rPr>
                <w:rFonts w:ascii="Trebuchet MS" w:hAnsi="Trebuchet MS"/>
                <w:color w:val="1F345E"/>
                <w:sz w:val="24"/>
                <w:szCs w:val="24"/>
              </w:rPr>
              <w:t>Cost Free Usage</w:t>
            </w:r>
          </w:p>
          <w:p w:rsidR="000C18D8" w:rsidRDefault="000C18D8" w:rsidP="000C18D8">
            <w:pPr>
              <w:pStyle w:val="bulletgabi"/>
              <w:shd w:val="clear" w:color="auto" w:fill="FFFFFF"/>
              <w:spacing w:before="0" w:beforeAutospacing="0" w:after="0" w:afterAutospacing="0"/>
              <w:rPr>
                <w:rFonts w:ascii="Verdana" w:hAnsi="Verdana"/>
                <w:color w:val="6E6E6E"/>
                <w:sz w:val="16"/>
                <w:szCs w:val="16"/>
              </w:rPr>
            </w:pPr>
            <w:r>
              <w:rPr>
                <w:rFonts w:ascii="Verdana" w:hAnsi="Verdana"/>
                <w:color w:val="6E6E6E"/>
                <w:sz w:val="16"/>
                <w:szCs w:val="16"/>
              </w:rPr>
              <w:t>For official PEFCR/OEFSR-based studies</w:t>
            </w:r>
          </w:p>
          <w:p w:rsidR="000C18D8" w:rsidRDefault="000C18D8" w:rsidP="000C18D8">
            <w:pPr>
              <w:pStyle w:val="bulletgabi"/>
              <w:shd w:val="clear" w:color="auto" w:fill="FFFFFF"/>
              <w:spacing w:before="0" w:beforeAutospacing="0" w:after="240" w:afterAutospacing="0"/>
              <w:rPr>
                <w:rFonts w:ascii="Verdana" w:hAnsi="Verdana"/>
                <w:color w:val="6E6E6E"/>
                <w:sz w:val="16"/>
                <w:szCs w:val="16"/>
              </w:rPr>
            </w:pPr>
            <w:r>
              <w:rPr>
                <w:rFonts w:ascii="Verdana" w:hAnsi="Verdana"/>
                <w:color w:val="6E6E6E"/>
                <w:sz w:val="16"/>
                <w:szCs w:val="16"/>
              </w:rPr>
              <w:t>Complete EF v2.0 Database</w:t>
            </w:r>
          </w:p>
          <w:p w:rsidR="000C18D8" w:rsidRDefault="000C18D8" w:rsidP="000C18D8">
            <w:pPr>
              <w:pStyle w:val="NormalWeb"/>
              <w:shd w:val="clear" w:color="auto" w:fill="FFFFFF"/>
              <w:spacing w:before="0" w:beforeAutospacing="0" w:after="0" w:afterAutospacing="0"/>
              <w:rPr>
                <w:rFonts w:ascii="Verdana" w:hAnsi="Verdana"/>
                <w:color w:val="6E6E6E"/>
                <w:sz w:val="16"/>
                <w:szCs w:val="16"/>
              </w:rPr>
            </w:pPr>
            <w:hyperlink r:id="rId22" w:history="1">
              <w:r>
                <w:rPr>
                  <w:rStyle w:val="Hyperlink"/>
                  <w:rFonts w:ascii="Verdana" w:eastAsiaTheme="majorEastAsia" w:hAnsi="Verdana"/>
                  <w:color w:val="6E6E6E"/>
                  <w:sz w:val="16"/>
                  <w:szCs w:val="16"/>
                </w:rPr>
                <w:t>Read more ...</w:t>
              </w:r>
            </w:hyperlink>
          </w:p>
          <w:p w:rsidR="000C18D8" w:rsidRDefault="000C18D8" w:rsidP="00DB4769">
            <w:pPr>
              <w:pStyle w:val="NormalWeb"/>
              <w:shd w:val="clear" w:color="auto" w:fill="FFFFFF"/>
              <w:spacing w:before="0" w:beforeAutospacing="0" w:after="0" w:afterAutospacing="0"/>
            </w:pPr>
          </w:p>
        </w:tc>
      </w:tr>
    </w:tbl>
    <w:p w:rsidR="005B622E" w:rsidRDefault="005B622E" w:rsidP="00DB4769">
      <w:pPr>
        <w:pStyle w:val="Heading1"/>
      </w:pPr>
    </w:p>
    <w:p w:rsidR="005B622E" w:rsidRDefault="005B622E" w:rsidP="00DB4769">
      <w:pPr>
        <w:pStyle w:val="Heading1"/>
      </w:pPr>
    </w:p>
    <w:p w:rsidR="005B622E" w:rsidRDefault="005B622E" w:rsidP="00DB4769">
      <w:pPr>
        <w:pStyle w:val="Heading1"/>
      </w:pPr>
      <w:bookmarkStart w:id="7" w:name="_GoBack"/>
      <w:bookmarkEnd w:id="7"/>
    </w:p>
    <w:p w:rsidR="00D4107B" w:rsidRDefault="00D4107B" w:rsidP="00DB4769">
      <w:pPr>
        <w:pStyle w:val="Heading1"/>
      </w:pPr>
      <w:r>
        <w:lastRenderedPageBreak/>
        <w:t>Appendix E</w:t>
      </w:r>
      <w:r w:rsidR="00DB4769">
        <w:t xml:space="preserve">  </w:t>
      </w:r>
      <w:r>
        <w:t xml:space="preserve">1.5% Interest Loan Discussion within the Green Team   </w:t>
      </w:r>
    </w:p>
    <w:p w:rsidR="00D4107B" w:rsidRDefault="00D4107B" w:rsidP="00D4107B">
      <w:r>
        <w:t xml:space="preserve">Using a combination of donations and low interest (i.e. 1.5% interest) member loans seemed to be emerging as a viable financing approach for First Universalist.     </w:t>
      </w:r>
    </w:p>
    <w:p w:rsidR="00D4107B" w:rsidRPr="00C773D2" w:rsidRDefault="00D4107B" w:rsidP="00D4107B">
      <w:r w:rsidRPr="00C773D2">
        <w:rPr>
          <w:b/>
          <w:i/>
        </w:rPr>
        <w:t>Discussion.</w:t>
      </w:r>
      <w:r>
        <w:t xml:space="preserve"> </w:t>
      </w:r>
      <w:r w:rsidRPr="00C773D2">
        <w:t>The low</w:t>
      </w:r>
      <w:r>
        <w:t>-</w:t>
      </w:r>
      <w:r w:rsidRPr="00C773D2">
        <w:t xml:space="preserve">interest member loan approach was aligned with </w:t>
      </w:r>
      <w:r>
        <w:t>several</w:t>
      </w:r>
      <w:r w:rsidRPr="00C773D2">
        <w:t xml:space="preserve"> ideas advocated by the members of the congregation.  For example:</w:t>
      </w:r>
    </w:p>
    <w:p w:rsidR="00D4107B" w:rsidRDefault="00D4107B" w:rsidP="00D4107B">
      <w:pPr>
        <w:pStyle w:val="ListParagraph"/>
        <w:widowControl w:val="0"/>
        <w:numPr>
          <w:ilvl w:val="0"/>
          <w:numId w:val="13"/>
        </w:numPr>
        <w:spacing w:before="120" w:after="0" w:line="240" w:lineRule="auto"/>
        <w:contextualSpacing w:val="0"/>
        <w:jc w:val="both"/>
      </w:pPr>
      <w:r>
        <w:t>Income inequality and wealth inequality are already crippling this country.  Avoid</w:t>
      </w:r>
      <w:r w:rsidRPr="00651C16">
        <w:t xml:space="preserve"> </w:t>
      </w:r>
      <w:r>
        <w:t>feeding Wall Street where possible.</w:t>
      </w:r>
    </w:p>
    <w:p w:rsidR="00D4107B" w:rsidRDefault="00D4107B" w:rsidP="00D4107B">
      <w:pPr>
        <w:pStyle w:val="ListParagraph"/>
        <w:widowControl w:val="0"/>
        <w:numPr>
          <w:ilvl w:val="0"/>
          <w:numId w:val="13"/>
        </w:numPr>
        <w:spacing w:before="120" w:after="0" w:line="240" w:lineRule="auto"/>
        <w:contextualSpacing w:val="0"/>
        <w:jc w:val="both"/>
      </w:pPr>
      <w:r>
        <w:t xml:space="preserve">Avoid commercial usury rates where possible.  Look for socially responsible investors who want to “put their money to good use” and invest in efforts that consistent with their values.   </w:t>
      </w:r>
    </w:p>
    <w:p w:rsidR="00D4107B" w:rsidRDefault="00D4107B" w:rsidP="00D4107B">
      <w:pPr>
        <w:pStyle w:val="ListParagraph"/>
        <w:widowControl w:val="0"/>
        <w:numPr>
          <w:ilvl w:val="0"/>
          <w:numId w:val="13"/>
        </w:numPr>
        <w:spacing w:before="120" w:after="0" w:line="240" w:lineRule="auto"/>
        <w:contextualSpacing w:val="0"/>
        <w:jc w:val="both"/>
      </w:pPr>
      <w:r>
        <w:t xml:space="preserve">Look for member investors &amp; lenders who are not focused on “making money” but instead “want to promote a good cause that represents their values.”   </w:t>
      </w:r>
    </w:p>
    <w:p w:rsidR="005B622E" w:rsidRDefault="00D4107B" w:rsidP="00D4107B">
      <w:pPr>
        <w:pStyle w:val="ListParagraph"/>
        <w:widowControl w:val="0"/>
        <w:numPr>
          <w:ilvl w:val="0"/>
          <w:numId w:val="13"/>
        </w:numPr>
        <w:spacing w:before="120" w:after="0" w:line="240" w:lineRule="auto"/>
        <w:contextualSpacing w:val="0"/>
        <w:jc w:val="both"/>
      </w:pPr>
      <w:r>
        <w:t xml:space="preserve">Try to keep wealth within the local community where it provides local jobs.   Better yet, keep the entire financial gain within the church community.  If you have to pay any usury fees, pay it to yourself – to your church members.  </w:t>
      </w:r>
    </w:p>
    <w:p w:rsidR="00D4107B" w:rsidRDefault="00D4107B" w:rsidP="005B622E">
      <w:pPr>
        <w:pStyle w:val="ListParagraph"/>
        <w:widowControl w:val="0"/>
        <w:spacing w:before="120" w:after="0" w:line="240" w:lineRule="auto"/>
        <w:ind w:left="360"/>
        <w:contextualSpacing w:val="0"/>
        <w:jc w:val="both"/>
      </w:pPr>
      <w:r>
        <w:t xml:space="preserve"> </w:t>
      </w:r>
    </w:p>
    <w:p w:rsidR="00D4107B" w:rsidRPr="00817C27" w:rsidRDefault="00D4107B" w:rsidP="00D4107B">
      <w:r w:rsidRPr="00817C27">
        <w:t>An informal poll</w:t>
      </w:r>
      <w:r>
        <w:t xml:space="preserve"> by the Green First team</w:t>
      </w:r>
      <w:r w:rsidRPr="00817C27">
        <w:t xml:space="preserve"> indicated that members were “tapped out” as far as making further donations</w:t>
      </w:r>
      <w:r>
        <w:t xml:space="preserve"> to the church.  That same poll indicated some members </w:t>
      </w:r>
      <w:r w:rsidRPr="002D6B7E">
        <w:t xml:space="preserve">would be willing to “loan” money to the church if they at least got back their principle.   </w:t>
      </w:r>
    </w:p>
    <w:p w:rsidR="00D4107B" w:rsidRDefault="00D4107B" w:rsidP="00D4107B">
      <w:r>
        <w:t xml:space="preserve">Three Green First team members had been involved for several months over the 2015-2016 winter trying to figure out how to make a third party LLC funding model work for their congregation.   This LLC approach was patterned after a model developed locally by St. John’s Episcopal Church in Boulder.   The St. John’s congregation created an LLC to fund their rooftop solar system that would provide 30% of electrical power requirements.  The Green First Team had set a goal to fund a 100% solar system plus 100% heating &amp; cooling system.  Including the geothermal heating and cooling system made the traditional economics less attractive, but the Green First Team was insisting on an “all in” system with zero GHG emissions now. </w:t>
      </w:r>
    </w:p>
    <w:p w:rsidR="00D4107B" w:rsidRDefault="00D4107B" w:rsidP="00D4107B">
      <w:r>
        <w:t xml:space="preserve">As they struggled to find an LLC funding approach that would work for First Universalist, the team became aware of how onerous high-interest rate loans can be.  The team could only make an LLC model work if their “investors” were willing to accept a minimal return on their investment (ROI). [Minimal means zero to 1%]    </w:t>
      </w:r>
    </w:p>
    <w:p w:rsidR="00D4107B" w:rsidRDefault="00D4107B" w:rsidP="00D4107B">
      <w:r>
        <w:t>As recalled by one Green First team member:</w:t>
      </w:r>
    </w:p>
    <w:p w:rsidR="00D4107B" w:rsidRPr="00FF0E5B" w:rsidRDefault="00D4107B" w:rsidP="005B622E">
      <w:pPr>
        <w:ind w:left="720"/>
      </w:pPr>
      <w:r w:rsidRPr="00FF0E5B">
        <w:t>“After the Science Presentation, we put together a new cash flow model that included a donation option, a commercial loan option</w:t>
      </w:r>
      <w:r>
        <w:t>,</w:t>
      </w:r>
      <w:r w:rsidRPr="00FF0E5B">
        <w:t xml:space="preserve"> and a</w:t>
      </w:r>
      <w:r>
        <w:t xml:space="preserve"> member</w:t>
      </w:r>
      <w:r w:rsidRPr="00FF0E5B">
        <w:t xml:space="preserve"> loan (1.5%) option.   After trying various arrangements of donations</w:t>
      </w:r>
      <w:r>
        <w:t>/</w:t>
      </w:r>
      <w:r w:rsidRPr="00FF0E5B">
        <w:t>loans</w:t>
      </w:r>
      <w:r>
        <w:t>,</w:t>
      </w:r>
      <w:r w:rsidRPr="00FF0E5B">
        <w:t xml:space="preserve"> we finally </w:t>
      </w:r>
      <w:r>
        <w:t>s</w:t>
      </w:r>
      <w:r w:rsidRPr="00FF0E5B">
        <w:t>tumbled on a possible solution that seemed to work.  It involved donations for about</w:t>
      </w:r>
      <w:r>
        <w:t xml:space="preserve"> 40-</w:t>
      </w:r>
      <w:r w:rsidRPr="00FF0E5B">
        <w:t xml:space="preserve">50% of the capital </w:t>
      </w:r>
      <w:r w:rsidRPr="00FF0E5B">
        <w:lastRenderedPageBreak/>
        <w:t xml:space="preserve">required to buy the new energy system and the remainder as member loans at 1.5% interest rate.  The result was a monthly </w:t>
      </w:r>
      <w:r>
        <w:t>r</w:t>
      </w:r>
      <w:r w:rsidRPr="00FF0E5B">
        <w:t xml:space="preserve">epayment plan comparable to the </w:t>
      </w:r>
      <w:r>
        <w:t xml:space="preserve">current </w:t>
      </w:r>
      <w:r w:rsidRPr="00FF0E5B">
        <w:t>monthly budget for gas &amp; electric</w:t>
      </w:r>
      <w:r w:rsidR="005B622E">
        <w:t xml:space="preserve">. </w:t>
      </w:r>
      <w:r w:rsidRPr="00FF0E5B">
        <w:t xml:space="preserve">ew changes </w:t>
      </w:r>
      <w:r>
        <w:t xml:space="preserve">were made, </w:t>
      </w:r>
      <w:r w:rsidRPr="00FF0E5B">
        <w:t xml:space="preserve">and a new </w:t>
      </w:r>
      <w:r>
        <w:t>spread</w:t>
      </w:r>
      <w:r w:rsidRPr="00FF0E5B">
        <w:t>sheet funding model</w:t>
      </w:r>
      <w:r>
        <w:t xml:space="preserve"> was created to define </w:t>
      </w:r>
      <w:r w:rsidRPr="00FF0E5B">
        <w:t>the cash flow over the next 20 years.  The funding model confirmed there would be a significant financial gain by the church over a 20-year time frame</w:t>
      </w:r>
      <w:r>
        <w:t xml:space="preserve"> and the plan was ‘revenue neutral’ meaning it did not increase the church operating budget.”</w:t>
      </w:r>
    </w:p>
    <w:p w:rsidR="00D750A5" w:rsidRDefault="00D750A5" w:rsidP="00D750A5">
      <w:pPr>
        <w:rPr>
          <w:rStyle w:val="s1"/>
          <w:rFonts w:cs="Calibri"/>
        </w:rPr>
      </w:pPr>
    </w:p>
    <w:p w:rsidR="00D4107B" w:rsidRDefault="00D4107B" w:rsidP="00D4107B"/>
    <w:p w:rsidR="00D4107B" w:rsidRDefault="00D4107B" w:rsidP="00D10067"/>
    <w:sectPr w:rsidR="00D4107B" w:rsidSect="005B622E">
      <w:footerReference w:type="default" r:id="rId23"/>
      <w:pgSz w:w="12240" w:h="15840"/>
      <w:pgMar w:top="1440" w:right="1440" w:bottom="1440" w:left="1440" w:header="720" w:footer="1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07" w:rsidRDefault="00987207" w:rsidP="00D10067">
      <w:r>
        <w:separator/>
      </w:r>
    </w:p>
    <w:p w:rsidR="00987207" w:rsidRDefault="00987207" w:rsidP="00D10067"/>
  </w:endnote>
  <w:endnote w:type="continuationSeparator" w:id="0">
    <w:p w:rsidR="00987207" w:rsidRDefault="00987207" w:rsidP="00D10067">
      <w:r>
        <w:continuationSeparator/>
      </w:r>
    </w:p>
    <w:p w:rsidR="00987207" w:rsidRDefault="00987207" w:rsidP="00D10067"/>
  </w:endnote>
  <w:endnote w:id="1">
    <w:p w:rsidR="00FA16B3" w:rsidRPr="007353F3" w:rsidRDefault="00FA16B3" w:rsidP="00670A84">
      <w:pPr>
        <w:pStyle w:val="NoSpacing"/>
        <w:rPr>
          <w:sz w:val="20"/>
          <w:szCs w:val="20"/>
        </w:rPr>
      </w:pPr>
      <w:r w:rsidRPr="007353F3">
        <w:rPr>
          <w:rStyle w:val="EndnoteReference"/>
          <w:sz w:val="20"/>
          <w:szCs w:val="20"/>
        </w:rPr>
        <w:endnoteRef/>
      </w:r>
      <w:r w:rsidRPr="007353F3">
        <w:rPr>
          <w:sz w:val="20"/>
          <w:szCs w:val="20"/>
        </w:rPr>
        <w:t xml:space="preserve">  See: </w:t>
      </w:r>
      <w:hyperlink r:id="rId1" w:history="1">
        <w:r w:rsidRPr="007353F3">
          <w:rPr>
            <w:rStyle w:val="Hyperlink"/>
          </w:rPr>
          <w:t>https://en.wikipedia.org/wiki/Life-cycle_cost_analysis</w:t>
        </w:r>
      </w:hyperlink>
      <w:r w:rsidRPr="007353F3">
        <w:rPr>
          <w:sz w:val="20"/>
          <w:szCs w:val="20"/>
        </w:rPr>
        <w:t xml:space="preserve">,  </w:t>
      </w:r>
      <w:hyperlink r:id="rId2" w:history="1">
        <w:r w:rsidRPr="007353F3">
          <w:rPr>
            <w:rStyle w:val="Hyperlink"/>
          </w:rPr>
          <w:t>https://www.nist.gov/customcf/get_pdf.cfm?pub_id=907459</w:t>
        </w:r>
      </w:hyperlink>
    </w:p>
  </w:endnote>
  <w:endnote w:id="2">
    <w:p w:rsidR="00FA16B3" w:rsidRPr="007353F3" w:rsidRDefault="00FA16B3" w:rsidP="00670A84">
      <w:pPr>
        <w:pStyle w:val="NoSpacing"/>
        <w:rPr>
          <w:sz w:val="20"/>
          <w:szCs w:val="20"/>
        </w:rPr>
      </w:pPr>
      <w:r w:rsidRPr="007353F3">
        <w:rPr>
          <w:rStyle w:val="EndnoteReference"/>
          <w:sz w:val="20"/>
          <w:szCs w:val="20"/>
        </w:rPr>
        <w:endnoteRef/>
      </w:r>
      <w:r w:rsidRPr="007353F3">
        <w:rPr>
          <w:sz w:val="20"/>
          <w:szCs w:val="20"/>
        </w:rPr>
        <w:t xml:space="preserve"> See:  </w:t>
      </w:r>
      <w:hyperlink r:id="rId3" w:history="1">
        <w:r w:rsidRPr="007353F3">
          <w:rPr>
            <w:rStyle w:val="Hyperlink"/>
          </w:rPr>
          <w:t>https://en.wikipedia.org/wiki/Life-cycle_assessment</w:t>
        </w:r>
      </w:hyperlink>
      <w:r w:rsidRPr="007353F3">
        <w:rPr>
          <w:sz w:val="20"/>
          <w:szCs w:val="20"/>
        </w:rPr>
        <w:t xml:space="preserve"> or </w:t>
      </w:r>
      <w:r w:rsidRPr="007353F3">
        <w:rPr>
          <w:rFonts w:cs="Arial"/>
          <w:color w:val="222222"/>
          <w:sz w:val="20"/>
          <w:szCs w:val="20"/>
          <w:shd w:val="clear" w:color="auto" w:fill="EAF3FF"/>
        </w:rPr>
        <w:t> </w:t>
      </w:r>
      <w:hyperlink r:id="rId4" w:history="1">
        <w:r w:rsidRPr="007353F3">
          <w:rPr>
            <w:rStyle w:val="Hyperlink"/>
            <w:rFonts w:cs="Arial"/>
            <w:color w:val="663366"/>
          </w:rPr>
          <w:t>"Defining Life Cycle Assessment (LCA)."</w:t>
        </w:r>
      </w:hyperlink>
      <w:r w:rsidRPr="007353F3">
        <w:rPr>
          <w:rStyle w:val="reference-text"/>
          <w:rFonts w:cs="Arial"/>
          <w:color w:val="222222"/>
          <w:sz w:val="20"/>
          <w:szCs w:val="20"/>
        </w:rPr>
        <w:t xml:space="preserve"> US Environmental Protection Agency. 17 October 2010. [ </w:t>
      </w:r>
      <w:hyperlink r:id="rId5" w:history="1">
        <w:r w:rsidRPr="007353F3">
          <w:rPr>
            <w:rStyle w:val="Hyperlink"/>
            <w:rFonts w:cs="Arial"/>
          </w:rPr>
          <w:t>http://www.gdrc.org/uem/lca/lca-define.html</w:t>
        </w:r>
      </w:hyperlink>
      <w:r w:rsidRPr="007353F3">
        <w:rPr>
          <w:rStyle w:val="reference-text"/>
          <w:rFonts w:cs="Arial"/>
          <w:color w:val="222222"/>
          <w:sz w:val="20"/>
          <w:szCs w:val="20"/>
        </w:rPr>
        <w:t xml:space="preserve"> ]</w:t>
      </w:r>
    </w:p>
  </w:endnote>
  <w:endnote w:id="3">
    <w:p w:rsidR="00392A8A" w:rsidRDefault="00392A8A" w:rsidP="00392A8A">
      <w:pPr>
        <w:rPr>
          <w:sz w:val="20"/>
        </w:rPr>
      </w:pPr>
      <w:r>
        <w:rPr>
          <w:rStyle w:val="EndnoteReference"/>
        </w:rPr>
        <w:endnoteRef/>
      </w:r>
      <w:r>
        <w:t xml:space="preserve"> </w:t>
      </w:r>
      <w:r w:rsidRPr="00392A8A">
        <w:rPr>
          <w:sz w:val="20"/>
        </w:rPr>
        <w:t>"</w:t>
      </w:r>
      <w:r w:rsidRPr="00392A8A">
        <w:rPr>
          <w:b/>
          <w:sz w:val="20"/>
        </w:rPr>
        <w:t>Full cost accounting for the life cycle of coal</w:t>
      </w:r>
      <w:r w:rsidRPr="00392A8A">
        <w:rPr>
          <w:sz w:val="20"/>
        </w:rPr>
        <w:t>" by Paul R. Epstein, Jonathan J. Buonocore, Kevin Eckerle, Michael Hendryx, Benjamin M. Stout III, Richard Heinberg, Richard W. Clapp, Beverly May, Nancy L. Reinhart, Melissa M. Ahern, Samir K. Doshi, and Leslie Glustrom, Harvard Medical Center for Health and the Global Environment, ANNALS OF THE NEW YORK ACADEMY OF SCIENCES  Issue: Ecological Economics Reviews</w:t>
      </w:r>
    </w:p>
    <w:p w:rsidR="005B622E" w:rsidRPr="00392A8A" w:rsidRDefault="005B622E" w:rsidP="00392A8A">
      <w:pPr>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B3" w:rsidRPr="006C3DED" w:rsidRDefault="00FA16B3" w:rsidP="006C3DED">
    <w:pPr>
      <w:pStyle w:val="Footer"/>
      <w:jc w:val="right"/>
      <w:rPr>
        <w:b/>
        <w:sz w:val="20"/>
      </w:rPr>
    </w:pPr>
    <w:r w:rsidRPr="006C3DED">
      <w:rPr>
        <w:b/>
        <w:sz w:val="20"/>
      </w:rPr>
      <w:fldChar w:fldCharType="begin"/>
    </w:r>
    <w:r w:rsidRPr="006C3DED">
      <w:rPr>
        <w:b/>
        <w:sz w:val="20"/>
      </w:rPr>
      <w:instrText xml:space="preserve"> PAGE   \* MERGEFORMAT </w:instrText>
    </w:r>
    <w:r w:rsidRPr="006C3DED">
      <w:rPr>
        <w:b/>
        <w:sz w:val="20"/>
      </w:rPr>
      <w:fldChar w:fldCharType="separate"/>
    </w:r>
    <w:r w:rsidR="00CC2E7F">
      <w:rPr>
        <w:b/>
        <w:noProof/>
        <w:sz w:val="20"/>
      </w:rPr>
      <w:t>8</w:t>
    </w:r>
    <w:r w:rsidRPr="006C3DED">
      <w:rPr>
        <w:b/>
        <w:noProof/>
        <w:sz w:val="20"/>
      </w:rPr>
      <w:fldChar w:fldCharType="end"/>
    </w:r>
    <w:r w:rsidRPr="00343CC6">
      <w:rPr>
        <w:noProof/>
      </w:rPr>
      <w:tab/>
    </w:r>
    <w:r w:rsidRPr="006C3DED">
      <w:rPr>
        <w:b/>
        <w:noProof/>
        <w:sz w:val="20"/>
      </w:rPr>
      <w:fldChar w:fldCharType="begin"/>
    </w:r>
    <w:r w:rsidRPr="006C3DED">
      <w:rPr>
        <w:b/>
        <w:noProof/>
        <w:sz w:val="20"/>
      </w:rPr>
      <w:instrText xml:space="preserve"> FILENAME   \* MERGEFORMAT </w:instrText>
    </w:r>
    <w:r w:rsidRPr="006C3DED">
      <w:rPr>
        <w:b/>
        <w:noProof/>
        <w:sz w:val="20"/>
      </w:rPr>
      <w:fldChar w:fldCharType="separate"/>
    </w:r>
    <w:r w:rsidR="00CC2E7F">
      <w:rPr>
        <w:b/>
        <w:noProof/>
        <w:sz w:val="20"/>
      </w:rPr>
      <w:t>6HandoutWorksheetsCostEstimate.docx</w:t>
    </w:r>
    <w:r w:rsidRPr="006C3DED">
      <w:rPr>
        <w:b/>
        <w:noProof/>
        <w:sz w:val="20"/>
      </w:rPr>
      <w:fldChar w:fldCharType="end"/>
    </w:r>
  </w:p>
  <w:p w:rsidR="00FA16B3" w:rsidRDefault="00FA16B3" w:rsidP="00D10067">
    <w:pPr>
      <w:pStyle w:val="Footer"/>
    </w:pPr>
  </w:p>
  <w:p w:rsidR="00FA16B3" w:rsidRDefault="00FA16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7B" w:rsidRPr="006C3DED" w:rsidRDefault="00D4107B" w:rsidP="006C3DED">
    <w:pPr>
      <w:pStyle w:val="Footer"/>
      <w:jc w:val="right"/>
      <w:rPr>
        <w:b/>
        <w:sz w:val="20"/>
      </w:rPr>
    </w:pPr>
    <w:r w:rsidRPr="006C3DED">
      <w:rPr>
        <w:b/>
        <w:sz w:val="20"/>
      </w:rPr>
      <w:fldChar w:fldCharType="begin"/>
    </w:r>
    <w:r w:rsidRPr="006C3DED">
      <w:rPr>
        <w:b/>
        <w:sz w:val="20"/>
      </w:rPr>
      <w:instrText xml:space="preserve"> PAGE   \* MERGEFORMAT </w:instrText>
    </w:r>
    <w:r w:rsidRPr="006C3DED">
      <w:rPr>
        <w:b/>
        <w:sz w:val="20"/>
      </w:rPr>
      <w:fldChar w:fldCharType="separate"/>
    </w:r>
    <w:r w:rsidR="00CC2E7F">
      <w:rPr>
        <w:b/>
        <w:noProof/>
        <w:sz w:val="20"/>
      </w:rPr>
      <w:t>15</w:t>
    </w:r>
    <w:r w:rsidRPr="006C3DED">
      <w:rPr>
        <w:b/>
        <w:noProof/>
        <w:sz w:val="20"/>
      </w:rPr>
      <w:fldChar w:fldCharType="end"/>
    </w:r>
    <w:r w:rsidRPr="00343CC6">
      <w:rPr>
        <w:noProof/>
      </w:rPr>
      <w:tab/>
    </w:r>
    <w:r w:rsidRPr="006C3DED">
      <w:rPr>
        <w:b/>
        <w:noProof/>
        <w:sz w:val="20"/>
      </w:rPr>
      <w:fldChar w:fldCharType="begin"/>
    </w:r>
    <w:r w:rsidRPr="006C3DED">
      <w:rPr>
        <w:b/>
        <w:noProof/>
        <w:sz w:val="20"/>
      </w:rPr>
      <w:instrText xml:space="preserve"> FILENAME   \* MERGEFORMAT </w:instrText>
    </w:r>
    <w:r w:rsidRPr="006C3DED">
      <w:rPr>
        <w:b/>
        <w:noProof/>
        <w:sz w:val="20"/>
      </w:rPr>
      <w:fldChar w:fldCharType="separate"/>
    </w:r>
    <w:r w:rsidR="00CC2E7F">
      <w:rPr>
        <w:b/>
        <w:noProof/>
        <w:sz w:val="20"/>
      </w:rPr>
      <w:t>6HandoutWorksheetsCostEstimate.docx</w:t>
    </w:r>
    <w:r w:rsidRPr="006C3DED">
      <w:rPr>
        <w:b/>
        <w:noProof/>
        <w:sz w:val="20"/>
      </w:rPr>
      <w:fldChar w:fldCharType="end"/>
    </w:r>
  </w:p>
  <w:p w:rsidR="00D4107B" w:rsidRDefault="00D4107B" w:rsidP="00D10067">
    <w:pPr>
      <w:pStyle w:val="Footer"/>
    </w:pPr>
  </w:p>
  <w:p w:rsidR="00D4107B" w:rsidRDefault="00D410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07" w:rsidRDefault="00987207" w:rsidP="00D10067">
      <w:r>
        <w:separator/>
      </w:r>
    </w:p>
    <w:p w:rsidR="00987207" w:rsidRDefault="00987207" w:rsidP="00D10067"/>
  </w:footnote>
  <w:footnote w:type="continuationSeparator" w:id="0">
    <w:p w:rsidR="00987207" w:rsidRDefault="00987207" w:rsidP="00D10067">
      <w:r>
        <w:continuationSeparator/>
      </w:r>
    </w:p>
    <w:p w:rsidR="00987207" w:rsidRDefault="00987207" w:rsidP="00D100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E78"/>
    <w:multiLevelType w:val="multilevel"/>
    <w:tmpl w:val="8392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64A82"/>
    <w:multiLevelType w:val="hybridMultilevel"/>
    <w:tmpl w:val="8F507BDA"/>
    <w:lvl w:ilvl="0" w:tplc="F8AA2FF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F60DD"/>
    <w:multiLevelType w:val="multilevel"/>
    <w:tmpl w:val="7616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50616"/>
    <w:multiLevelType w:val="hybridMultilevel"/>
    <w:tmpl w:val="10FE5884"/>
    <w:lvl w:ilvl="0" w:tplc="30A0D51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81A6D"/>
    <w:multiLevelType w:val="hybridMultilevel"/>
    <w:tmpl w:val="1D441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B2A00"/>
    <w:multiLevelType w:val="hybridMultilevel"/>
    <w:tmpl w:val="89703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352E6"/>
    <w:multiLevelType w:val="multilevel"/>
    <w:tmpl w:val="085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14CC3"/>
    <w:multiLevelType w:val="hybridMultilevel"/>
    <w:tmpl w:val="3A66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D55FE"/>
    <w:multiLevelType w:val="multilevel"/>
    <w:tmpl w:val="666A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2635B3"/>
    <w:multiLevelType w:val="multilevel"/>
    <w:tmpl w:val="8562829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B33D2"/>
    <w:multiLevelType w:val="hybridMultilevel"/>
    <w:tmpl w:val="7482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86558"/>
    <w:multiLevelType w:val="multilevel"/>
    <w:tmpl w:val="4FE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16E96"/>
    <w:multiLevelType w:val="hybridMultilevel"/>
    <w:tmpl w:val="85F23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59346E"/>
    <w:multiLevelType w:val="hybridMultilevel"/>
    <w:tmpl w:val="0512DB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121F6"/>
    <w:multiLevelType w:val="multilevel"/>
    <w:tmpl w:val="162A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21FC4"/>
    <w:multiLevelType w:val="multilevel"/>
    <w:tmpl w:val="D296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63CD9"/>
    <w:multiLevelType w:val="hybridMultilevel"/>
    <w:tmpl w:val="1F30D59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73690E"/>
    <w:multiLevelType w:val="multilevel"/>
    <w:tmpl w:val="033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60E8F"/>
    <w:multiLevelType w:val="multilevel"/>
    <w:tmpl w:val="51D0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8E096F"/>
    <w:multiLevelType w:val="hybridMultilevel"/>
    <w:tmpl w:val="DEAC04B4"/>
    <w:lvl w:ilvl="0" w:tplc="A408328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F6102"/>
    <w:multiLevelType w:val="hybridMultilevel"/>
    <w:tmpl w:val="99B6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76911"/>
    <w:multiLevelType w:val="hybridMultilevel"/>
    <w:tmpl w:val="FC30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4673A"/>
    <w:multiLevelType w:val="hybridMultilevel"/>
    <w:tmpl w:val="F83A6D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FA84D7D"/>
    <w:multiLevelType w:val="hybridMultilevel"/>
    <w:tmpl w:val="0512DB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0797B"/>
    <w:multiLevelType w:val="hybridMultilevel"/>
    <w:tmpl w:val="12267CEE"/>
    <w:lvl w:ilvl="0" w:tplc="47EA4DE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A63C4"/>
    <w:multiLevelType w:val="hybridMultilevel"/>
    <w:tmpl w:val="88E07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C4A70"/>
    <w:multiLevelType w:val="hybridMultilevel"/>
    <w:tmpl w:val="0330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60DDA"/>
    <w:multiLevelType w:val="hybridMultilevel"/>
    <w:tmpl w:val="07E096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A848A4"/>
    <w:multiLevelType w:val="multilevel"/>
    <w:tmpl w:val="0D0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abstractNumId w:val="26"/>
  </w:num>
  <w:num w:numId="5">
    <w:abstractNumId w:val="10"/>
  </w:num>
  <w:num w:numId="6">
    <w:abstractNumId w:val="25"/>
  </w:num>
  <w:num w:numId="7">
    <w:abstractNumId w:val="16"/>
  </w:num>
  <w:num w:numId="8">
    <w:abstractNumId w:val="27"/>
  </w:num>
  <w:num w:numId="9">
    <w:abstractNumId w:val="5"/>
  </w:num>
  <w:num w:numId="10">
    <w:abstractNumId w:val="20"/>
  </w:num>
  <w:num w:numId="11">
    <w:abstractNumId w:val="22"/>
  </w:num>
  <w:num w:numId="12">
    <w:abstractNumId w:val="7"/>
  </w:num>
  <w:num w:numId="13">
    <w:abstractNumId w:val="12"/>
  </w:num>
  <w:num w:numId="14">
    <w:abstractNumId w:val="23"/>
  </w:num>
  <w:num w:numId="15">
    <w:abstractNumId w:val="21"/>
  </w:num>
  <w:num w:numId="16">
    <w:abstractNumId w:val="8"/>
  </w:num>
  <w:num w:numId="17">
    <w:abstractNumId w:val="4"/>
  </w:num>
  <w:num w:numId="18">
    <w:abstractNumId w:val="3"/>
  </w:num>
  <w:num w:numId="19">
    <w:abstractNumId w:val="19"/>
  </w:num>
  <w:num w:numId="20">
    <w:abstractNumId w:val="1"/>
  </w:num>
  <w:num w:numId="21">
    <w:abstractNumId w:val="24"/>
  </w:num>
  <w:num w:numId="22">
    <w:abstractNumId w:val="13"/>
  </w:num>
  <w:num w:numId="23">
    <w:abstractNumId w:val="15"/>
  </w:num>
  <w:num w:numId="24">
    <w:abstractNumId w:val="14"/>
  </w:num>
  <w:num w:numId="25">
    <w:abstractNumId w:val="18"/>
  </w:num>
  <w:num w:numId="26">
    <w:abstractNumId w:val="28"/>
  </w:num>
  <w:num w:numId="27">
    <w:abstractNumId w:val="17"/>
  </w:num>
  <w:num w:numId="28">
    <w:abstractNumId w:val="6"/>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AQSxmbGRmYGlgaGJko6SsGpxcWZ+XkgBaa1ADYqnRUsAAAA"/>
  </w:docVars>
  <w:rsids>
    <w:rsidRoot w:val="003037AE"/>
    <w:rsid w:val="00064556"/>
    <w:rsid w:val="00073DC1"/>
    <w:rsid w:val="000A360D"/>
    <w:rsid w:val="000B2B49"/>
    <w:rsid w:val="000B773F"/>
    <w:rsid w:val="000C18D8"/>
    <w:rsid w:val="000C5E2C"/>
    <w:rsid w:val="000D1764"/>
    <w:rsid w:val="000E0B76"/>
    <w:rsid w:val="000E74BA"/>
    <w:rsid w:val="000F16CA"/>
    <w:rsid w:val="000F7477"/>
    <w:rsid w:val="00126EF2"/>
    <w:rsid w:val="00135CCF"/>
    <w:rsid w:val="0014540D"/>
    <w:rsid w:val="00157E78"/>
    <w:rsid w:val="00161A51"/>
    <w:rsid w:val="00185978"/>
    <w:rsid w:val="00190A46"/>
    <w:rsid w:val="001A0E1D"/>
    <w:rsid w:val="001A1B69"/>
    <w:rsid w:val="001C0C5B"/>
    <w:rsid w:val="001C4F34"/>
    <w:rsid w:val="001C5177"/>
    <w:rsid w:val="00213355"/>
    <w:rsid w:val="002136BA"/>
    <w:rsid w:val="00226065"/>
    <w:rsid w:val="002313B5"/>
    <w:rsid w:val="002374A7"/>
    <w:rsid w:val="002461DD"/>
    <w:rsid w:val="00286133"/>
    <w:rsid w:val="00291858"/>
    <w:rsid w:val="002A0A14"/>
    <w:rsid w:val="002A41D5"/>
    <w:rsid w:val="002B2871"/>
    <w:rsid w:val="002B613C"/>
    <w:rsid w:val="002C024B"/>
    <w:rsid w:val="002F2F3E"/>
    <w:rsid w:val="002F5BF0"/>
    <w:rsid w:val="002F75EB"/>
    <w:rsid w:val="003037AE"/>
    <w:rsid w:val="00343CC6"/>
    <w:rsid w:val="003804FB"/>
    <w:rsid w:val="00386C62"/>
    <w:rsid w:val="00392A8A"/>
    <w:rsid w:val="00394D52"/>
    <w:rsid w:val="003C334A"/>
    <w:rsid w:val="003D343F"/>
    <w:rsid w:val="003E4F6F"/>
    <w:rsid w:val="003F082E"/>
    <w:rsid w:val="00411456"/>
    <w:rsid w:val="00422AD5"/>
    <w:rsid w:val="00422ED8"/>
    <w:rsid w:val="004233DC"/>
    <w:rsid w:val="00431987"/>
    <w:rsid w:val="004465BB"/>
    <w:rsid w:val="0048149D"/>
    <w:rsid w:val="004B4B1D"/>
    <w:rsid w:val="004C31A5"/>
    <w:rsid w:val="004C33E7"/>
    <w:rsid w:val="004E7013"/>
    <w:rsid w:val="004F12DE"/>
    <w:rsid w:val="00504B97"/>
    <w:rsid w:val="00553EFF"/>
    <w:rsid w:val="00560C0B"/>
    <w:rsid w:val="00562BFB"/>
    <w:rsid w:val="005B622E"/>
    <w:rsid w:val="005C3456"/>
    <w:rsid w:val="005D4ED3"/>
    <w:rsid w:val="005E6D47"/>
    <w:rsid w:val="00670A84"/>
    <w:rsid w:val="00684F4E"/>
    <w:rsid w:val="00696520"/>
    <w:rsid w:val="006A4E2E"/>
    <w:rsid w:val="006C3DED"/>
    <w:rsid w:val="006E413A"/>
    <w:rsid w:val="006F433E"/>
    <w:rsid w:val="00721885"/>
    <w:rsid w:val="00744BB0"/>
    <w:rsid w:val="00747AF5"/>
    <w:rsid w:val="00755E07"/>
    <w:rsid w:val="007761DF"/>
    <w:rsid w:val="007A435D"/>
    <w:rsid w:val="007C2593"/>
    <w:rsid w:val="007F5A3B"/>
    <w:rsid w:val="00842057"/>
    <w:rsid w:val="00844A60"/>
    <w:rsid w:val="008521EE"/>
    <w:rsid w:val="00852770"/>
    <w:rsid w:val="00863971"/>
    <w:rsid w:val="00874038"/>
    <w:rsid w:val="008741DD"/>
    <w:rsid w:val="0090658B"/>
    <w:rsid w:val="00923681"/>
    <w:rsid w:val="00987207"/>
    <w:rsid w:val="009A0331"/>
    <w:rsid w:val="009B2155"/>
    <w:rsid w:val="009C75A6"/>
    <w:rsid w:val="009D5717"/>
    <w:rsid w:val="009E1ED5"/>
    <w:rsid w:val="00A060FA"/>
    <w:rsid w:val="00A07C26"/>
    <w:rsid w:val="00A10E66"/>
    <w:rsid w:val="00A24E08"/>
    <w:rsid w:val="00A31687"/>
    <w:rsid w:val="00A3609E"/>
    <w:rsid w:val="00A66A63"/>
    <w:rsid w:val="00A72881"/>
    <w:rsid w:val="00A8669B"/>
    <w:rsid w:val="00AA63F7"/>
    <w:rsid w:val="00B04405"/>
    <w:rsid w:val="00B06585"/>
    <w:rsid w:val="00B06FF7"/>
    <w:rsid w:val="00B12E3D"/>
    <w:rsid w:val="00B3242D"/>
    <w:rsid w:val="00B703F6"/>
    <w:rsid w:val="00B91999"/>
    <w:rsid w:val="00B95260"/>
    <w:rsid w:val="00BB6399"/>
    <w:rsid w:val="00BF5F98"/>
    <w:rsid w:val="00BF6F0B"/>
    <w:rsid w:val="00C15DED"/>
    <w:rsid w:val="00C263CE"/>
    <w:rsid w:val="00C46453"/>
    <w:rsid w:val="00C7237A"/>
    <w:rsid w:val="00C858C4"/>
    <w:rsid w:val="00C900EA"/>
    <w:rsid w:val="00C92C22"/>
    <w:rsid w:val="00C9363E"/>
    <w:rsid w:val="00C945C8"/>
    <w:rsid w:val="00CA4C41"/>
    <w:rsid w:val="00CB1D35"/>
    <w:rsid w:val="00CC2E7F"/>
    <w:rsid w:val="00CC57C4"/>
    <w:rsid w:val="00CD3F7F"/>
    <w:rsid w:val="00CD43C7"/>
    <w:rsid w:val="00D10067"/>
    <w:rsid w:val="00D4107B"/>
    <w:rsid w:val="00D750A5"/>
    <w:rsid w:val="00D85D17"/>
    <w:rsid w:val="00D86545"/>
    <w:rsid w:val="00DA48E9"/>
    <w:rsid w:val="00DA7D46"/>
    <w:rsid w:val="00DB05FA"/>
    <w:rsid w:val="00DB4769"/>
    <w:rsid w:val="00DD31C3"/>
    <w:rsid w:val="00DD5900"/>
    <w:rsid w:val="00DF1A38"/>
    <w:rsid w:val="00E22608"/>
    <w:rsid w:val="00E749EF"/>
    <w:rsid w:val="00E87CBF"/>
    <w:rsid w:val="00EE1090"/>
    <w:rsid w:val="00EF6873"/>
    <w:rsid w:val="00F0233B"/>
    <w:rsid w:val="00F80EE7"/>
    <w:rsid w:val="00FA16B3"/>
    <w:rsid w:val="00FA4EF1"/>
    <w:rsid w:val="00FB3071"/>
    <w:rsid w:val="00FD256F"/>
    <w:rsid w:val="00FD33AD"/>
    <w:rsid w:val="00FF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D7FC8"/>
  <w15:chartTrackingRefBased/>
  <w15:docId w15:val="{A4800C7E-B28B-4262-837E-232B6532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067"/>
    <w:rPr>
      <w:sz w:val="24"/>
    </w:rPr>
  </w:style>
  <w:style w:type="paragraph" w:styleId="Heading1">
    <w:name w:val="heading 1"/>
    <w:basedOn w:val="Normal"/>
    <w:link w:val="Heading1Char"/>
    <w:uiPriority w:val="9"/>
    <w:qFormat/>
    <w:rsid w:val="00D10067"/>
    <w:pPr>
      <w:spacing w:before="100" w:beforeAutospacing="1" w:after="100" w:afterAutospacing="1" w:line="240" w:lineRule="auto"/>
      <w:outlineLvl w:val="0"/>
    </w:pPr>
    <w:rPr>
      <w:rFonts w:ascii="Tempus Sans ITC" w:eastAsia="Times New Roman" w:hAnsi="Tempus Sans ITC" w:cs="Times New Roman"/>
      <w:b/>
      <w:bCs/>
      <w:color w:val="1F4E79" w:themeColor="accent1" w:themeShade="80"/>
      <w:kern w:val="36"/>
      <w:sz w:val="32"/>
      <w:szCs w:val="28"/>
    </w:rPr>
  </w:style>
  <w:style w:type="paragraph" w:styleId="Heading2">
    <w:name w:val="heading 2"/>
    <w:basedOn w:val="Normal"/>
    <w:next w:val="Normal"/>
    <w:link w:val="Heading2Char"/>
    <w:uiPriority w:val="9"/>
    <w:unhideWhenUsed/>
    <w:qFormat/>
    <w:rsid w:val="00553EFF"/>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70A84"/>
    <w:pPr>
      <w:keepNext/>
      <w:keepLines/>
      <w:spacing w:before="40" w:after="0"/>
      <w:outlineLvl w:val="2"/>
    </w:pPr>
    <w:rPr>
      <w:rFonts w:eastAsiaTheme="majorEastAsia" w:cstheme="minorHAnsi"/>
      <w:b/>
      <w:color w:val="1F4D78" w:themeColor="accent1" w:themeShade="7F"/>
      <w:szCs w:val="24"/>
    </w:rPr>
  </w:style>
  <w:style w:type="paragraph" w:styleId="Heading4">
    <w:name w:val="heading 4"/>
    <w:basedOn w:val="Normal"/>
    <w:next w:val="Normal"/>
    <w:link w:val="Heading4Char"/>
    <w:uiPriority w:val="9"/>
    <w:unhideWhenUsed/>
    <w:qFormat/>
    <w:rsid w:val="00190A4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4D5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067"/>
    <w:rPr>
      <w:rFonts w:ascii="Tempus Sans ITC" w:eastAsia="Times New Roman" w:hAnsi="Tempus Sans ITC" w:cs="Times New Roman"/>
      <w:b/>
      <w:bCs/>
      <w:color w:val="1F4E79" w:themeColor="accent1" w:themeShade="80"/>
      <w:kern w:val="36"/>
      <w:sz w:val="32"/>
      <w:szCs w:val="28"/>
    </w:rPr>
  </w:style>
  <w:style w:type="paragraph" w:styleId="NormalWeb">
    <w:name w:val="Normal (Web)"/>
    <w:basedOn w:val="Normal"/>
    <w:uiPriority w:val="99"/>
    <w:unhideWhenUsed/>
    <w:rsid w:val="003037AE"/>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3037AE"/>
    <w:rPr>
      <w:color w:val="0000FF"/>
      <w:u w:val="single"/>
    </w:rPr>
  </w:style>
  <w:style w:type="character" w:customStyle="1" w:styleId="Heading2Char">
    <w:name w:val="Heading 2 Char"/>
    <w:basedOn w:val="DefaultParagraphFont"/>
    <w:link w:val="Heading2"/>
    <w:uiPriority w:val="9"/>
    <w:rsid w:val="00553EFF"/>
    <w:rPr>
      <w:rFonts w:eastAsiaTheme="majorEastAsia" w:cstheme="majorBidi"/>
      <w:b/>
      <w:sz w:val="28"/>
      <w:szCs w:val="26"/>
    </w:rPr>
  </w:style>
  <w:style w:type="character" w:customStyle="1" w:styleId="Heading3Char">
    <w:name w:val="Heading 3 Char"/>
    <w:basedOn w:val="DefaultParagraphFont"/>
    <w:link w:val="Heading3"/>
    <w:uiPriority w:val="9"/>
    <w:rsid w:val="00670A84"/>
    <w:rPr>
      <w:rFonts w:eastAsiaTheme="majorEastAsia" w:cstheme="minorHAnsi"/>
      <w:b/>
      <w:color w:val="1F4D78" w:themeColor="accent1" w:themeShade="7F"/>
      <w:sz w:val="24"/>
      <w:szCs w:val="24"/>
    </w:rPr>
  </w:style>
  <w:style w:type="paragraph" w:customStyle="1" w:styleId="ecxmsonormal">
    <w:name w:val="ecxmsonormal"/>
    <w:basedOn w:val="Normal"/>
    <w:rsid w:val="0090658B"/>
    <w:pPr>
      <w:spacing w:before="100" w:beforeAutospacing="1" w:after="100" w:afterAutospacing="1" w:line="240" w:lineRule="auto"/>
    </w:pPr>
    <w:rPr>
      <w:rFonts w:ascii="Times New Roman" w:eastAsia="Times New Roman" w:hAnsi="Times New Roman" w:cs="Times New Roman"/>
      <w:szCs w:val="24"/>
    </w:rPr>
  </w:style>
  <w:style w:type="character" w:customStyle="1" w:styleId="ecxapple-style-span">
    <w:name w:val="ecxapple-style-span"/>
    <w:basedOn w:val="DefaultParagraphFont"/>
    <w:rsid w:val="0090658B"/>
  </w:style>
  <w:style w:type="table" w:styleId="TableGrid">
    <w:name w:val="Table Grid"/>
    <w:basedOn w:val="TableNormal"/>
    <w:uiPriority w:val="59"/>
    <w:rsid w:val="0090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0658B"/>
  </w:style>
  <w:style w:type="paragraph" w:styleId="ListParagraph">
    <w:name w:val="List Paragraph"/>
    <w:basedOn w:val="Normal"/>
    <w:uiPriority w:val="34"/>
    <w:qFormat/>
    <w:rsid w:val="0090658B"/>
    <w:pPr>
      <w:ind w:left="720"/>
      <w:contextualSpacing/>
    </w:pPr>
  </w:style>
  <w:style w:type="paragraph" w:styleId="FootnoteText">
    <w:name w:val="footnote text"/>
    <w:basedOn w:val="Normal"/>
    <w:link w:val="FootnoteTextChar"/>
    <w:uiPriority w:val="99"/>
    <w:semiHidden/>
    <w:unhideWhenUsed/>
    <w:rsid w:val="00906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58B"/>
    <w:rPr>
      <w:sz w:val="20"/>
      <w:szCs w:val="20"/>
    </w:rPr>
  </w:style>
  <w:style w:type="character" w:styleId="FootnoteReference">
    <w:name w:val="footnote reference"/>
    <w:basedOn w:val="DefaultParagraphFont"/>
    <w:uiPriority w:val="99"/>
    <w:semiHidden/>
    <w:unhideWhenUsed/>
    <w:rsid w:val="0090658B"/>
    <w:rPr>
      <w:vertAlign w:val="superscript"/>
    </w:rPr>
  </w:style>
  <w:style w:type="character" w:styleId="Emphasis">
    <w:name w:val="Emphasis"/>
    <w:basedOn w:val="DefaultParagraphFont"/>
    <w:uiPriority w:val="20"/>
    <w:qFormat/>
    <w:rsid w:val="0090658B"/>
    <w:rPr>
      <w:i/>
      <w:iCs/>
    </w:rPr>
  </w:style>
  <w:style w:type="paragraph" w:styleId="NoSpacing">
    <w:name w:val="No Spacing"/>
    <w:link w:val="NoSpacingChar"/>
    <w:uiPriority w:val="1"/>
    <w:qFormat/>
    <w:rsid w:val="0090658B"/>
    <w:pPr>
      <w:widowControl w:val="0"/>
      <w:spacing w:after="0" w:line="240" w:lineRule="auto"/>
    </w:pPr>
  </w:style>
  <w:style w:type="character" w:customStyle="1" w:styleId="NoSpacingChar">
    <w:name w:val="No Spacing Char"/>
    <w:link w:val="NoSpacing"/>
    <w:uiPriority w:val="1"/>
    <w:rsid w:val="0090658B"/>
  </w:style>
  <w:style w:type="paragraph" w:styleId="EndnoteText">
    <w:name w:val="endnote text"/>
    <w:basedOn w:val="Normal"/>
    <w:link w:val="EndnoteTextChar"/>
    <w:uiPriority w:val="99"/>
    <w:unhideWhenUsed/>
    <w:rsid w:val="0090658B"/>
    <w:pPr>
      <w:spacing w:after="0" w:line="240" w:lineRule="auto"/>
    </w:pPr>
    <w:rPr>
      <w:sz w:val="20"/>
      <w:szCs w:val="20"/>
    </w:rPr>
  </w:style>
  <w:style w:type="character" w:customStyle="1" w:styleId="EndnoteTextChar">
    <w:name w:val="Endnote Text Char"/>
    <w:basedOn w:val="DefaultParagraphFont"/>
    <w:link w:val="EndnoteText"/>
    <w:uiPriority w:val="99"/>
    <w:rsid w:val="0090658B"/>
    <w:rPr>
      <w:sz w:val="20"/>
      <w:szCs w:val="20"/>
    </w:rPr>
  </w:style>
  <w:style w:type="character" w:styleId="EndnoteReference">
    <w:name w:val="endnote reference"/>
    <w:basedOn w:val="DefaultParagraphFont"/>
    <w:uiPriority w:val="99"/>
    <w:unhideWhenUsed/>
    <w:rsid w:val="0090658B"/>
    <w:rPr>
      <w:vertAlign w:val="superscript"/>
    </w:rPr>
  </w:style>
  <w:style w:type="paragraph" w:styleId="BodyText">
    <w:name w:val="Body Text"/>
    <w:basedOn w:val="Normal"/>
    <w:link w:val="BodyTextChar"/>
    <w:uiPriority w:val="1"/>
    <w:qFormat/>
    <w:rsid w:val="0090658B"/>
    <w:pPr>
      <w:widowControl w:val="0"/>
      <w:tabs>
        <w:tab w:val="left" w:pos="1276"/>
        <w:tab w:val="right" w:pos="6836"/>
        <w:tab w:val="left" w:pos="11104"/>
      </w:tabs>
      <w:spacing w:before="74" w:after="0" w:line="235" w:lineRule="auto"/>
      <w:ind w:left="104" w:right="-4"/>
    </w:pPr>
    <w:rPr>
      <w:rFonts w:ascii="Calibri" w:eastAsia="Calibri" w:hAnsi="Calibri"/>
      <w:spacing w:val="-2"/>
      <w:szCs w:val="24"/>
    </w:rPr>
  </w:style>
  <w:style w:type="character" w:customStyle="1" w:styleId="BodyTextChar">
    <w:name w:val="Body Text Char"/>
    <w:basedOn w:val="DefaultParagraphFont"/>
    <w:link w:val="BodyText"/>
    <w:uiPriority w:val="1"/>
    <w:rsid w:val="0090658B"/>
    <w:rPr>
      <w:rFonts w:ascii="Calibri" w:eastAsia="Calibri" w:hAnsi="Calibri"/>
      <w:spacing w:val="-2"/>
      <w:szCs w:val="24"/>
    </w:rPr>
  </w:style>
  <w:style w:type="paragraph" w:styleId="Footer">
    <w:name w:val="footer"/>
    <w:basedOn w:val="Normal"/>
    <w:link w:val="FooterChar"/>
    <w:uiPriority w:val="99"/>
    <w:unhideWhenUsed/>
    <w:rsid w:val="0090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58B"/>
  </w:style>
  <w:style w:type="paragraph" w:styleId="Caption">
    <w:name w:val="caption"/>
    <w:basedOn w:val="Normal"/>
    <w:next w:val="Normal"/>
    <w:uiPriority w:val="35"/>
    <w:unhideWhenUsed/>
    <w:qFormat/>
    <w:rsid w:val="0048149D"/>
    <w:pPr>
      <w:keepNext/>
      <w:spacing w:before="120" w:after="0" w:line="240" w:lineRule="auto"/>
      <w:ind w:firstLine="432"/>
      <w:jc w:val="both"/>
    </w:pPr>
    <w:rPr>
      <w:rFonts w:ascii="Calibri" w:eastAsia="Calibri" w:hAnsi="Calibri" w:cs="Times New Roman"/>
      <w:b/>
      <w:bCs/>
      <w:color w:val="4F81BD"/>
      <w:sz w:val="20"/>
      <w:szCs w:val="18"/>
    </w:rPr>
  </w:style>
  <w:style w:type="paragraph" w:styleId="TOCHeading">
    <w:name w:val="TOC Heading"/>
    <w:basedOn w:val="Heading1"/>
    <w:next w:val="Normal"/>
    <w:uiPriority w:val="39"/>
    <w:unhideWhenUsed/>
    <w:qFormat/>
    <w:rsid w:val="00C945C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TOC1">
    <w:name w:val="toc 1"/>
    <w:basedOn w:val="Normal"/>
    <w:next w:val="Normal"/>
    <w:autoRedefine/>
    <w:uiPriority w:val="39"/>
    <w:unhideWhenUsed/>
    <w:rsid w:val="00C945C8"/>
    <w:pPr>
      <w:spacing w:after="100"/>
    </w:pPr>
  </w:style>
  <w:style w:type="paragraph" w:styleId="TOC2">
    <w:name w:val="toc 2"/>
    <w:basedOn w:val="Normal"/>
    <w:next w:val="Normal"/>
    <w:autoRedefine/>
    <w:uiPriority w:val="39"/>
    <w:unhideWhenUsed/>
    <w:rsid w:val="00C945C8"/>
    <w:pPr>
      <w:spacing w:after="100"/>
      <w:ind w:left="220"/>
    </w:pPr>
  </w:style>
  <w:style w:type="paragraph" w:styleId="TOC3">
    <w:name w:val="toc 3"/>
    <w:basedOn w:val="Normal"/>
    <w:next w:val="Normal"/>
    <w:autoRedefine/>
    <w:uiPriority w:val="39"/>
    <w:unhideWhenUsed/>
    <w:rsid w:val="00C945C8"/>
    <w:pPr>
      <w:spacing w:after="100"/>
      <w:ind w:left="440"/>
    </w:pPr>
  </w:style>
  <w:style w:type="paragraph" w:styleId="Header">
    <w:name w:val="header"/>
    <w:basedOn w:val="Normal"/>
    <w:link w:val="HeaderChar"/>
    <w:uiPriority w:val="99"/>
    <w:unhideWhenUsed/>
    <w:rsid w:val="000E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4BA"/>
  </w:style>
  <w:style w:type="character" w:styleId="CommentReference">
    <w:name w:val="annotation reference"/>
    <w:basedOn w:val="DefaultParagraphFont"/>
    <w:uiPriority w:val="99"/>
    <w:semiHidden/>
    <w:unhideWhenUsed/>
    <w:rsid w:val="002374A7"/>
    <w:rPr>
      <w:sz w:val="16"/>
      <w:szCs w:val="16"/>
    </w:rPr>
  </w:style>
  <w:style w:type="paragraph" w:styleId="CommentText">
    <w:name w:val="annotation text"/>
    <w:basedOn w:val="Normal"/>
    <w:link w:val="CommentTextChar"/>
    <w:uiPriority w:val="99"/>
    <w:semiHidden/>
    <w:unhideWhenUsed/>
    <w:rsid w:val="002374A7"/>
    <w:pPr>
      <w:spacing w:line="240" w:lineRule="auto"/>
    </w:pPr>
    <w:rPr>
      <w:sz w:val="20"/>
      <w:szCs w:val="20"/>
    </w:rPr>
  </w:style>
  <w:style w:type="character" w:customStyle="1" w:styleId="CommentTextChar">
    <w:name w:val="Comment Text Char"/>
    <w:basedOn w:val="DefaultParagraphFont"/>
    <w:link w:val="CommentText"/>
    <w:uiPriority w:val="99"/>
    <w:semiHidden/>
    <w:rsid w:val="002374A7"/>
    <w:rPr>
      <w:sz w:val="20"/>
      <w:szCs w:val="20"/>
    </w:rPr>
  </w:style>
  <w:style w:type="paragraph" w:styleId="CommentSubject">
    <w:name w:val="annotation subject"/>
    <w:basedOn w:val="CommentText"/>
    <w:next w:val="CommentText"/>
    <w:link w:val="CommentSubjectChar"/>
    <w:uiPriority w:val="99"/>
    <w:semiHidden/>
    <w:unhideWhenUsed/>
    <w:rsid w:val="002374A7"/>
    <w:rPr>
      <w:b/>
      <w:bCs/>
    </w:rPr>
  </w:style>
  <w:style w:type="character" w:customStyle="1" w:styleId="CommentSubjectChar">
    <w:name w:val="Comment Subject Char"/>
    <w:basedOn w:val="CommentTextChar"/>
    <w:link w:val="CommentSubject"/>
    <w:uiPriority w:val="99"/>
    <w:semiHidden/>
    <w:rsid w:val="002374A7"/>
    <w:rPr>
      <w:b/>
      <w:bCs/>
      <w:sz w:val="20"/>
      <w:szCs w:val="20"/>
    </w:rPr>
  </w:style>
  <w:style w:type="paragraph" w:styleId="Revision">
    <w:name w:val="Revision"/>
    <w:hidden/>
    <w:uiPriority w:val="99"/>
    <w:semiHidden/>
    <w:rsid w:val="002374A7"/>
    <w:pPr>
      <w:spacing w:after="0" w:line="240" w:lineRule="auto"/>
    </w:pPr>
  </w:style>
  <w:style w:type="paragraph" w:styleId="BalloonText">
    <w:name w:val="Balloon Text"/>
    <w:basedOn w:val="Normal"/>
    <w:link w:val="BalloonTextChar"/>
    <w:uiPriority w:val="99"/>
    <w:semiHidden/>
    <w:unhideWhenUsed/>
    <w:rsid w:val="00237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4A7"/>
    <w:rPr>
      <w:rFonts w:ascii="Segoe UI" w:hAnsi="Segoe UI" w:cs="Segoe UI"/>
      <w:sz w:val="18"/>
      <w:szCs w:val="18"/>
    </w:rPr>
  </w:style>
  <w:style w:type="character" w:customStyle="1" w:styleId="Heading5Char">
    <w:name w:val="Heading 5 Char"/>
    <w:basedOn w:val="DefaultParagraphFont"/>
    <w:link w:val="Heading5"/>
    <w:uiPriority w:val="9"/>
    <w:semiHidden/>
    <w:rsid w:val="00394D52"/>
    <w:rPr>
      <w:rFonts w:asciiTheme="majorHAnsi" w:eastAsiaTheme="majorEastAsia" w:hAnsiTheme="majorHAnsi" w:cstheme="majorBidi"/>
      <w:color w:val="2E74B5" w:themeColor="accent1" w:themeShade="BF"/>
      <w:sz w:val="24"/>
    </w:rPr>
  </w:style>
  <w:style w:type="character" w:customStyle="1" w:styleId="s1">
    <w:name w:val="s1"/>
    <w:basedOn w:val="DefaultParagraphFont"/>
    <w:rsid w:val="00394D52"/>
  </w:style>
  <w:style w:type="character" w:customStyle="1" w:styleId="reference-text">
    <w:name w:val="reference-text"/>
    <w:basedOn w:val="DefaultParagraphFont"/>
    <w:rsid w:val="000A360D"/>
  </w:style>
  <w:style w:type="character" w:customStyle="1" w:styleId="ilfuvd">
    <w:name w:val="ilfuvd"/>
    <w:basedOn w:val="DefaultParagraphFont"/>
    <w:rsid w:val="00A10E66"/>
  </w:style>
  <w:style w:type="character" w:customStyle="1" w:styleId="kx21rb">
    <w:name w:val="kx21rb"/>
    <w:basedOn w:val="DefaultParagraphFont"/>
    <w:rsid w:val="00A10E66"/>
  </w:style>
  <w:style w:type="character" w:styleId="Strong">
    <w:name w:val="Strong"/>
    <w:basedOn w:val="DefaultParagraphFont"/>
    <w:uiPriority w:val="22"/>
    <w:qFormat/>
    <w:rsid w:val="000C18D8"/>
    <w:rPr>
      <w:b/>
      <w:bCs/>
    </w:rPr>
  </w:style>
  <w:style w:type="paragraph" w:customStyle="1" w:styleId="bulletgabi">
    <w:name w:val="bullet_gabi"/>
    <w:basedOn w:val="Normal"/>
    <w:rsid w:val="000C18D8"/>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190A46"/>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569850">
      <w:bodyDiv w:val="1"/>
      <w:marLeft w:val="0"/>
      <w:marRight w:val="0"/>
      <w:marTop w:val="0"/>
      <w:marBottom w:val="0"/>
      <w:divBdr>
        <w:top w:val="none" w:sz="0" w:space="0" w:color="auto"/>
        <w:left w:val="none" w:sz="0" w:space="0" w:color="auto"/>
        <w:bottom w:val="none" w:sz="0" w:space="0" w:color="auto"/>
        <w:right w:val="none" w:sz="0" w:space="0" w:color="auto"/>
      </w:divBdr>
      <w:divsChild>
        <w:div w:id="1399356128">
          <w:marLeft w:val="255"/>
          <w:marRight w:val="0"/>
          <w:marTop w:val="0"/>
          <w:marBottom w:val="0"/>
          <w:divBdr>
            <w:top w:val="none" w:sz="0" w:space="0" w:color="auto"/>
            <w:left w:val="none" w:sz="0" w:space="0" w:color="auto"/>
            <w:bottom w:val="none" w:sz="0" w:space="0" w:color="auto"/>
            <w:right w:val="none" w:sz="0" w:space="0" w:color="auto"/>
          </w:divBdr>
          <w:divsChild>
            <w:div w:id="720440533">
              <w:marLeft w:val="0"/>
              <w:marRight w:val="0"/>
              <w:marTop w:val="0"/>
              <w:marBottom w:val="0"/>
              <w:divBdr>
                <w:top w:val="none" w:sz="0" w:space="0" w:color="auto"/>
                <w:left w:val="none" w:sz="0" w:space="0" w:color="auto"/>
                <w:bottom w:val="none" w:sz="0" w:space="0" w:color="auto"/>
                <w:right w:val="none" w:sz="0" w:space="0" w:color="auto"/>
              </w:divBdr>
            </w:div>
            <w:div w:id="12942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22182">
      <w:bodyDiv w:val="1"/>
      <w:marLeft w:val="0"/>
      <w:marRight w:val="0"/>
      <w:marTop w:val="0"/>
      <w:marBottom w:val="0"/>
      <w:divBdr>
        <w:top w:val="none" w:sz="0" w:space="0" w:color="auto"/>
        <w:left w:val="none" w:sz="0" w:space="0" w:color="auto"/>
        <w:bottom w:val="none" w:sz="0" w:space="0" w:color="auto"/>
        <w:right w:val="none" w:sz="0" w:space="0" w:color="auto"/>
      </w:divBdr>
    </w:div>
    <w:div w:id="938636823">
      <w:bodyDiv w:val="1"/>
      <w:marLeft w:val="0"/>
      <w:marRight w:val="0"/>
      <w:marTop w:val="0"/>
      <w:marBottom w:val="0"/>
      <w:divBdr>
        <w:top w:val="none" w:sz="0" w:space="0" w:color="auto"/>
        <w:left w:val="none" w:sz="0" w:space="0" w:color="auto"/>
        <w:bottom w:val="none" w:sz="0" w:space="0" w:color="auto"/>
        <w:right w:val="none" w:sz="0" w:space="0" w:color="auto"/>
      </w:divBdr>
    </w:div>
    <w:div w:id="993290883">
      <w:bodyDiv w:val="1"/>
      <w:marLeft w:val="0"/>
      <w:marRight w:val="0"/>
      <w:marTop w:val="0"/>
      <w:marBottom w:val="0"/>
      <w:divBdr>
        <w:top w:val="none" w:sz="0" w:space="0" w:color="auto"/>
        <w:left w:val="none" w:sz="0" w:space="0" w:color="auto"/>
        <w:bottom w:val="none" w:sz="0" w:space="0" w:color="auto"/>
        <w:right w:val="none" w:sz="0" w:space="0" w:color="auto"/>
      </w:divBdr>
      <w:divsChild>
        <w:div w:id="767703542">
          <w:marLeft w:val="-450"/>
          <w:marRight w:val="0"/>
          <w:marTop w:val="0"/>
          <w:marBottom w:val="0"/>
          <w:divBdr>
            <w:top w:val="none" w:sz="0" w:space="0" w:color="auto"/>
            <w:left w:val="none" w:sz="0" w:space="0" w:color="auto"/>
            <w:bottom w:val="none" w:sz="0" w:space="0" w:color="auto"/>
            <w:right w:val="none" w:sz="0" w:space="0" w:color="auto"/>
          </w:divBdr>
        </w:div>
      </w:divsChild>
    </w:div>
    <w:div w:id="1016925246">
      <w:bodyDiv w:val="1"/>
      <w:marLeft w:val="0"/>
      <w:marRight w:val="0"/>
      <w:marTop w:val="0"/>
      <w:marBottom w:val="0"/>
      <w:divBdr>
        <w:top w:val="none" w:sz="0" w:space="0" w:color="auto"/>
        <w:left w:val="none" w:sz="0" w:space="0" w:color="auto"/>
        <w:bottom w:val="none" w:sz="0" w:space="0" w:color="auto"/>
        <w:right w:val="none" w:sz="0" w:space="0" w:color="auto"/>
      </w:divBdr>
    </w:div>
    <w:div w:id="1122461433">
      <w:bodyDiv w:val="1"/>
      <w:marLeft w:val="0"/>
      <w:marRight w:val="0"/>
      <w:marTop w:val="0"/>
      <w:marBottom w:val="0"/>
      <w:divBdr>
        <w:top w:val="none" w:sz="0" w:space="0" w:color="auto"/>
        <w:left w:val="none" w:sz="0" w:space="0" w:color="auto"/>
        <w:bottom w:val="none" w:sz="0" w:space="0" w:color="auto"/>
        <w:right w:val="none" w:sz="0" w:space="0" w:color="auto"/>
      </w:divBdr>
      <w:divsChild>
        <w:div w:id="1363751337">
          <w:marLeft w:val="0"/>
          <w:marRight w:val="0"/>
          <w:marTop w:val="0"/>
          <w:marBottom w:val="0"/>
          <w:divBdr>
            <w:top w:val="none" w:sz="0" w:space="0" w:color="auto"/>
            <w:left w:val="none" w:sz="0" w:space="0" w:color="auto"/>
            <w:bottom w:val="none" w:sz="0" w:space="0" w:color="auto"/>
            <w:right w:val="none" w:sz="0" w:space="0" w:color="auto"/>
          </w:divBdr>
        </w:div>
      </w:divsChild>
    </w:div>
    <w:div w:id="1158157199">
      <w:bodyDiv w:val="1"/>
      <w:marLeft w:val="0"/>
      <w:marRight w:val="0"/>
      <w:marTop w:val="0"/>
      <w:marBottom w:val="0"/>
      <w:divBdr>
        <w:top w:val="none" w:sz="0" w:space="0" w:color="auto"/>
        <w:left w:val="none" w:sz="0" w:space="0" w:color="auto"/>
        <w:bottom w:val="none" w:sz="0" w:space="0" w:color="auto"/>
        <w:right w:val="none" w:sz="0" w:space="0" w:color="auto"/>
      </w:divBdr>
    </w:div>
    <w:div w:id="1357266521">
      <w:bodyDiv w:val="1"/>
      <w:marLeft w:val="0"/>
      <w:marRight w:val="0"/>
      <w:marTop w:val="0"/>
      <w:marBottom w:val="0"/>
      <w:divBdr>
        <w:top w:val="none" w:sz="0" w:space="0" w:color="auto"/>
        <w:left w:val="none" w:sz="0" w:space="0" w:color="auto"/>
        <w:bottom w:val="none" w:sz="0" w:space="0" w:color="auto"/>
        <w:right w:val="none" w:sz="0" w:space="0" w:color="auto"/>
      </w:divBdr>
    </w:div>
    <w:div w:id="1890217715">
      <w:bodyDiv w:val="1"/>
      <w:marLeft w:val="0"/>
      <w:marRight w:val="0"/>
      <w:marTop w:val="0"/>
      <w:marBottom w:val="0"/>
      <w:divBdr>
        <w:top w:val="none" w:sz="0" w:space="0" w:color="auto"/>
        <w:left w:val="none" w:sz="0" w:space="0" w:color="auto"/>
        <w:bottom w:val="none" w:sz="0" w:space="0" w:color="auto"/>
        <w:right w:val="none" w:sz="0" w:space="0" w:color="auto"/>
      </w:divBdr>
    </w:div>
    <w:div w:id="1903369150">
      <w:bodyDiv w:val="1"/>
      <w:marLeft w:val="0"/>
      <w:marRight w:val="0"/>
      <w:marTop w:val="0"/>
      <w:marBottom w:val="0"/>
      <w:divBdr>
        <w:top w:val="none" w:sz="0" w:space="0" w:color="auto"/>
        <w:left w:val="none" w:sz="0" w:space="0" w:color="auto"/>
        <w:bottom w:val="none" w:sz="0" w:space="0" w:color="auto"/>
        <w:right w:val="none" w:sz="0" w:space="0" w:color="auto"/>
      </w:divBdr>
      <w:divsChild>
        <w:div w:id="1089423260">
          <w:marLeft w:val="0"/>
          <w:marRight w:val="0"/>
          <w:marTop w:val="0"/>
          <w:marBottom w:val="0"/>
          <w:divBdr>
            <w:top w:val="none" w:sz="0" w:space="0" w:color="auto"/>
            <w:left w:val="none" w:sz="0" w:space="0" w:color="auto"/>
            <w:bottom w:val="none" w:sz="0" w:space="0" w:color="auto"/>
            <w:right w:val="none" w:sz="0" w:space="0" w:color="auto"/>
          </w:divBdr>
          <w:divsChild>
            <w:div w:id="1391267853">
              <w:marLeft w:val="0"/>
              <w:marRight w:val="0"/>
              <w:marTop w:val="0"/>
              <w:marBottom w:val="0"/>
              <w:divBdr>
                <w:top w:val="none" w:sz="0" w:space="0" w:color="auto"/>
                <w:left w:val="none" w:sz="0" w:space="0" w:color="auto"/>
                <w:bottom w:val="none" w:sz="0" w:space="0" w:color="auto"/>
                <w:right w:val="none" w:sz="0" w:space="0" w:color="auto"/>
              </w:divBdr>
            </w:div>
          </w:divsChild>
        </w:div>
        <w:div w:id="925502482">
          <w:marLeft w:val="0"/>
          <w:marRight w:val="0"/>
          <w:marTop w:val="0"/>
          <w:marBottom w:val="0"/>
          <w:divBdr>
            <w:top w:val="none" w:sz="0" w:space="0" w:color="auto"/>
            <w:left w:val="none" w:sz="0" w:space="0" w:color="auto"/>
            <w:bottom w:val="none" w:sz="0" w:space="0" w:color="auto"/>
            <w:right w:val="none" w:sz="0" w:space="0" w:color="auto"/>
          </w:divBdr>
          <w:divsChild>
            <w:div w:id="1195190236">
              <w:marLeft w:val="0"/>
              <w:marRight w:val="0"/>
              <w:marTop w:val="0"/>
              <w:marBottom w:val="0"/>
              <w:divBdr>
                <w:top w:val="none" w:sz="0" w:space="0" w:color="auto"/>
                <w:left w:val="none" w:sz="0" w:space="0" w:color="auto"/>
                <w:bottom w:val="none" w:sz="0" w:space="0" w:color="auto"/>
                <w:right w:val="none" w:sz="0" w:space="0" w:color="auto"/>
              </w:divBdr>
            </w:div>
          </w:divsChild>
        </w:div>
        <w:div w:id="991056550">
          <w:marLeft w:val="0"/>
          <w:marRight w:val="0"/>
          <w:marTop w:val="0"/>
          <w:marBottom w:val="0"/>
          <w:divBdr>
            <w:top w:val="none" w:sz="0" w:space="0" w:color="auto"/>
            <w:left w:val="none" w:sz="0" w:space="0" w:color="auto"/>
            <w:bottom w:val="none" w:sz="0" w:space="0" w:color="auto"/>
            <w:right w:val="none" w:sz="0" w:space="0" w:color="auto"/>
          </w:divBdr>
          <w:divsChild>
            <w:div w:id="472796053">
              <w:marLeft w:val="0"/>
              <w:marRight w:val="0"/>
              <w:marTop w:val="0"/>
              <w:marBottom w:val="0"/>
              <w:divBdr>
                <w:top w:val="none" w:sz="0" w:space="0" w:color="auto"/>
                <w:left w:val="none" w:sz="0" w:space="0" w:color="auto"/>
                <w:bottom w:val="none" w:sz="0" w:space="0" w:color="auto"/>
                <w:right w:val="none" w:sz="0" w:space="0" w:color="auto"/>
              </w:divBdr>
              <w:divsChild>
                <w:div w:id="198248459">
                  <w:marLeft w:val="0"/>
                  <w:marRight w:val="0"/>
                  <w:marTop w:val="0"/>
                  <w:marBottom w:val="0"/>
                  <w:divBdr>
                    <w:top w:val="none" w:sz="0" w:space="0" w:color="auto"/>
                    <w:left w:val="none" w:sz="0" w:space="0" w:color="auto"/>
                    <w:bottom w:val="none" w:sz="0" w:space="0" w:color="auto"/>
                    <w:right w:val="none" w:sz="0" w:space="0" w:color="auto"/>
                  </w:divBdr>
                </w:div>
                <w:div w:id="535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9934">
          <w:marLeft w:val="0"/>
          <w:marRight w:val="0"/>
          <w:marTop w:val="0"/>
          <w:marBottom w:val="0"/>
          <w:divBdr>
            <w:top w:val="none" w:sz="0" w:space="0" w:color="auto"/>
            <w:left w:val="none" w:sz="0" w:space="0" w:color="auto"/>
            <w:bottom w:val="none" w:sz="0" w:space="0" w:color="auto"/>
            <w:right w:val="none" w:sz="0" w:space="0" w:color="auto"/>
          </w:divBdr>
        </w:div>
        <w:div w:id="669721125">
          <w:marLeft w:val="0"/>
          <w:marRight w:val="0"/>
          <w:marTop w:val="0"/>
          <w:marBottom w:val="0"/>
          <w:divBdr>
            <w:top w:val="none" w:sz="0" w:space="0" w:color="auto"/>
            <w:left w:val="none" w:sz="0" w:space="0" w:color="auto"/>
            <w:bottom w:val="none" w:sz="0" w:space="0" w:color="auto"/>
            <w:right w:val="none" w:sz="0" w:space="0" w:color="auto"/>
          </w:divBdr>
          <w:divsChild>
            <w:div w:id="1598178120">
              <w:marLeft w:val="0"/>
              <w:marRight w:val="0"/>
              <w:marTop w:val="150"/>
              <w:marBottom w:val="0"/>
              <w:divBdr>
                <w:top w:val="none" w:sz="0" w:space="0" w:color="auto"/>
                <w:left w:val="none" w:sz="0" w:space="0" w:color="auto"/>
                <w:bottom w:val="none" w:sz="0" w:space="0" w:color="auto"/>
                <w:right w:val="none" w:sz="0" w:space="0" w:color="auto"/>
              </w:divBdr>
            </w:div>
            <w:div w:id="1106466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fe-cycle_assessment" TargetMode="External"/><Relationship Id="rId13" Type="http://schemas.openxmlformats.org/officeDocument/2006/relationships/image" Target="media/image3.png"/><Relationship Id="rId18" Type="http://schemas.openxmlformats.org/officeDocument/2006/relationships/hyperlink" Target="https://youtu.be/XmFmXyChufs"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coloradointerfaithgreenbuilding.org/Solar-GeoFundingModelA.xlsx" TargetMode="External"/><Relationship Id="rId17" Type="http://schemas.openxmlformats.org/officeDocument/2006/relationships/hyperlink" Target="http://www.gabi-software.com/overview/product-sustainability-performa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ec.europa.eu/environment/eussd/smg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coloradointerfaithgreenbuilding.org/Solar-GeoFundingModelA.pdf"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www.gabi-software.com/databases/ef-database-v20/cost-free-usage-of-ef-databas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Life-cycle_assessment" TargetMode="External"/><Relationship Id="rId2" Type="http://schemas.openxmlformats.org/officeDocument/2006/relationships/hyperlink" Target="https://www.nist.gov/customcf/get_pdf.cfm?pub_id=907459" TargetMode="External"/><Relationship Id="rId1" Type="http://schemas.openxmlformats.org/officeDocument/2006/relationships/hyperlink" Target="https://en.wikipedia.org/wiki/Life-cycle_cost_analysis" TargetMode="External"/><Relationship Id="rId5" Type="http://schemas.openxmlformats.org/officeDocument/2006/relationships/hyperlink" Target="http://www.gdrc.org/uem/lca/lca-define.html" TargetMode="External"/><Relationship Id="rId4" Type="http://schemas.openxmlformats.org/officeDocument/2006/relationships/hyperlink" Target="http://www.gdrc.org/uem/lca/lca-def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524C-8125-48D7-A462-981C86EF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3494</TotalTime>
  <Pages>15</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 Hetrick</dc:creator>
  <cp:keywords/>
  <dc:description/>
  <cp:lastModifiedBy>Milt Hetrick</cp:lastModifiedBy>
  <cp:revision>12</cp:revision>
  <cp:lastPrinted>2019-05-08T18:31:00Z</cp:lastPrinted>
  <dcterms:created xsi:type="dcterms:W3CDTF">2019-04-30T21:23:00Z</dcterms:created>
  <dcterms:modified xsi:type="dcterms:W3CDTF">2019-05-08T18:31:00Z</dcterms:modified>
</cp:coreProperties>
</file>